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body>
    <w:p>
      <w:pPr>
        <w:spacing w:after="240" w:before="0"/>
      </w:pPr>
      <w:r>
        <w:rPr>
          <w:b/>
          <w:bCs/>
          <w:sz w:val="36"/>
          <w:szCs w:val="36"/>
        </w:rPr>
        <w:t xml:space="preserve">QMS Scope Document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2000"/>
        <w:gridCol w:w="3160"/>
      </w:tblGrid>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Document No.</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QMS-SCO-001</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Standard</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ISO 9001:2015 Cl. 4.3</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Revision</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2.0</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Issue Date</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Review Frequency</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Annual / on significant change</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Owner</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r>
    </w:tbl>
    <w:p>
      <w:pPr>
        <w:pStyle w:val="Heading1"/>
        <w:spacing w:after="160" w:before="280"/>
      </w:pPr>
      <w:r>
        <w:t xml:space="preserve">1. Purpose</w:t>
      </w:r>
    </w:p>
    <w:p>
      <w:pPr>
        <w:spacing w:after="120"/>
      </w:pPr>
      <w:r>
        <w:t xml:space="preserve">This document defines the boundary and applicability of the organisation's Quality Management System. The scope identifies the products, services, sites and activities to which the QMS applies, and documents any clauses of ISO 9001:2015 that are not applicable, with the justification required by Clause 4.3.</w:t>
      </w:r>
    </w:p>
    <w:p>
      <w:pPr>
        <w:pStyle w:val="Heading1"/>
        <w:spacing w:after="160" w:before="280"/>
      </w:pPr>
      <w:r>
        <w:t xml:space="preserve">2. Scope Statement</w:t>
      </w:r>
    </w:p>
    <w:p>
      <w:pPr>
        <w:spacing w:after="120"/>
      </w:pPr>
      <w:r>
        <w:t xml:space="preserve">The Quality Management System of [Organisation Name] applies to the following:</w:t>
      </w:r>
    </w:p>
    <w:p>
      <w:pPr>
        <w:pStyle w:val="Heading2"/>
        <w:spacing w:after="100" w:before="200"/>
      </w:pPr>
      <w:r>
        <w:t xml:space="preserve">Products and Services</w:t>
      </w:r>
    </w:p>
    <w:p>
      <w:pPr>
        <w:pStyle w:val="ListParagraph"/>
        <w:numPr>
          <w:ilvl w:val="0"/>
          <w:numId w:val="2"/>
        </w:numPr>
        <w:spacing w:after="60"/>
      </w:pPr>
      <w:r>
        <w:t xml:space="preserve">[Describe the products and services provided — e.g. 'Design (where applicable), fabrication, surface treatment, inspection and delivery of structural and miscellaneous steel components for the commercial, industrial and infrastructure construction sectors.']</w:t>
      </w:r>
    </w:p>
    <w:p>
      <w:pPr>
        <w:pStyle w:val="ListParagraph"/>
        <w:numPr>
          <w:ilvl w:val="0"/>
          <w:numId w:val="2"/>
        </w:numPr>
        <w:spacing w:after="60"/>
      </w:pPr>
      <w:r>
        <w:t xml:space="preserve">[Include service offerings — e.g. 'On-site installation and erection services; post-delivery maintenance and warranty support.']</w:t>
      </w:r>
    </w:p>
    <w:p>
      <w:pPr>
        <w:pStyle w:val="Heading2"/>
        <w:spacing w:after="100" w:before="200"/>
      </w:pPr>
      <w:r>
        <w:t xml:space="preserve">Sites</w:t>
      </w:r>
    </w:p>
    <w:p>
      <w:pPr>
        <w:pStyle w:val="ListParagraph"/>
        <w:numPr>
          <w:ilvl w:val="0"/>
          <w:numId w:val="2"/>
        </w:numPr>
        <w:spacing w:after="60"/>
      </w:pPr>
      <w:r>
        <w:t xml:space="preserve">[List operational sites — e.g. 'Head Office and Workshop: 12 Industrial Drive, Wetherill Park NSW 2164.']</w:t>
      </w:r>
    </w:p>
    <w:p>
      <w:pPr>
        <w:pStyle w:val="ListParagraph"/>
        <w:numPr>
          <w:ilvl w:val="0"/>
          <w:numId w:val="2"/>
        </w:numPr>
        <w:spacing w:after="60"/>
      </w:pPr>
      <w:r>
        <w:t xml:space="preserve">[List satellite sites or yards — e.g. 'Storage and finishing yard: 8 Logistics Way, Smithfield NSW 2164.']</w:t>
      </w:r>
    </w:p>
    <w:p>
      <w:pPr>
        <w:pStyle w:val="ListParagraph"/>
        <w:numPr>
          <w:ilvl w:val="0"/>
          <w:numId w:val="2"/>
        </w:numPr>
        <w:spacing w:after="60"/>
      </w:pPr>
      <w:r>
        <w:t xml:space="preserve">Work performed at customer sites under the organisation's responsibility is covered by the QMS regardless of physical location.</w:t>
      </w:r>
    </w:p>
    <w:p>
      <w:pPr>
        <w:pStyle w:val="Heading2"/>
        <w:spacing w:after="100" w:before="200"/>
      </w:pPr>
      <w:r>
        <w:t xml:space="preserve">Functions</w:t>
      </w:r>
    </w:p>
    <w:p>
      <w:pPr>
        <w:pStyle w:val="ListParagraph"/>
        <w:numPr>
          <w:ilvl w:val="0"/>
          <w:numId w:val="2"/>
        </w:numPr>
        <w:spacing w:after="60"/>
      </w:pPr>
      <w:r>
        <w:t xml:space="preserve">Management, Operations, Quality, Engineering, Procurement, Estimating, Administration.</w:t>
      </w:r>
    </w:p>
    <w:p>
      <w:pPr>
        <w:pStyle w:val="ListParagraph"/>
        <w:numPr>
          <w:ilvl w:val="0"/>
          <w:numId w:val="2"/>
        </w:numPr>
        <w:spacing w:after="60"/>
      </w:pPr>
      <w:r>
        <w:t xml:space="preserve">All employees and contractors performing work under the organisation's control are within scope.</w:t>
      </w:r>
    </w:p>
    <w:p>
      <w:pPr>
        <w:pStyle w:val="Heading2"/>
        <w:spacing w:after="100" w:before="200"/>
      </w:pPr>
      <w:r>
        <w:t xml:space="preserve">Applicable Standards</w:t>
      </w:r>
    </w:p>
    <w:p>
      <w:pPr>
        <w:pStyle w:val="ListParagraph"/>
        <w:numPr>
          <w:ilvl w:val="0"/>
          <w:numId w:val="2"/>
        </w:numPr>
        <w:spacing w:after="60"/>
      </w:pPr>
      <w:r>
        <w:t xml:space="preserve">ISO 9001:2015 — Quality Management Systems — Requirements.</w:t>
      </w:r>
    </w:p>
    <w:p>
      <w:pPr>
        <w:pStyle w:val="ListParagraph"/>
        <w:numPr>
          <w:ilvl w:val="0"/>
          <w:numId w:val="2"/>
        </w:numPr>
        <w:spacing w:after="60"/>
      </w:pPr>
      <w:r>
        <w:t xml:space="preserve">[Add product or industry standards applicable to specific activities — e.g. AS/NZS 1554 Welding, AS/NZS ISO 3834 Welding QA, AS 1100 Drawing, AS/NZS 5131 Structural Steel.]</w:t>
      </w:r>
    </w:p>
    <w:p>
      <w:pPr>
        <w:pStyle w:val="Heading1"/>
        <w:spacing w:after="160" w:before="280"/>
      </w:pPr>
      <w:r>
        <w:t xml:space="preserve">3. Clause Applicability and Exclusions (Cl. 4.3)</w:t>
      </w:r>
    </w:p>
    <w:p>
      <w:pPr>
        <w:spacing w:after="120"/>
      </w:pPr>
      <w:r>
        <w:t xml:space="preserve">ISO 9001:2015 requires that any non-applicability of requirements is justified and does not affect the organisation's ability or responsibility to ensure conformity of products and services and the enhancement of customer satisfaction: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Clause</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Applicability and Justification</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Cl. 8.3 — Design and Development</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[State whether APPLICABLE or EXCLUDED.]  If EXCLUDED: Provide specific justification — e.g. '[Organisation Name] manufactures to customer-supplied specifications and drawings. [Organisation Name] does not perform original design or development activities. All design responsibility rests with the customer or with engineering consultants engaged by the customer.' If APPLICABLE: state the design and development activities that are within scope and reference the controlling procedure.</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All other Clauses 4–10</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Applicable to all activities within the scope statement above. No further exclusions apply.</w:t>
            </w:r>
          </w:p>
        </w:tc>
      </w:tr>
    </w:tbl>
    <w:p>
      <w:pPr>
        <w:pStyle w:val="Heading1"/>
        <w:spacing w:after="160" w:before="280"/>
      </w:pPr>
      <w:r>
        <w:t xml:space="preserve">4. External Context (Cl. 4.1)</w:t>
      </w:r>
    </w:p>
    <w:p>
      <w:pPr>
        <w:spacing w:after="120"/>
      </w:pPr>
      <w:r>
        <w:t xml:space="preserve">The following external context elements have been considered in defining the scope:</w:t>
      </w:r>
    </w:p>
    <w:p>
      <w:pPr>
        <w:pStyle w:val="ListParagraph"/>
        <w:numPr>
          <w:ilvl w:val="0"/>
          <w:numId w:val="2"/>
        </w:numPr>
        <w:spacing w:after="60"/>
      </w:pPr>
      <w:r>
        <w:t xml:space="preserve">Customer and market requirements, including prequalification and tender conditions.</w:t>
      </w:r>
    </w:p>
    <w:p>
      <w:pPr>
        <w:pStyle w:val="ListParagraph"/>
        <w:numPr>
          <w:ilvl w:val="0"/>
          <w:numId w:val="2"/>
        </w:numPr>
        <w:spacing w:after="60"/>
      </w:pPr>
      <w:r>
        <w:t xml:space="preserve">Statutory and regulatory requirements applicable to products and services delivered.</w:t>
      </w:r>
    </w:p>
    <w:p>
      <w:pPr>
        <w:pStyle w:val="ListParagraph"/>
        <w:numPr>
          <w:ilvl w:val="0"/>
          <w:numId w:val="2"/>
        </w:numPr>
        <w:spacing w:after="60"/>
      </w:pPr>
      <w:r>
        <w:t xml:space="preserve">Industry standards, codes of practice and certification body requirements.</w:t>
      </w:r>
    </w:p>
    <w:p>
      <w:pPr>
        <w:pStyle w:val="ListParagraph"/>
        <w:numPr>
          <w:ilvl w:val="0"/>
          <w:numId w:val="2"/>
        </w:numPr>
        <w:spacing w:after="60"/>
      </w:pPr>
      <w:r>
        <w:t xml:space="preserve">Supply chain reliability, economic conditions and material availability.</w:t>
      </w:r>
    </w:p>
    <w:p>
      <w:pPr>
        <w:pStyle w:val="ListParagraph"/>
        <w:numPr>
          <w:ilvl w:val="0"/>
          <w:numId w:val="2"/>
        </w:numPr>
        <w:spacing w:after="60"/>
      </w:pPr>
      <w:r>
        <w:t xml:space="preserve">Competitive environment, technology changes, and customer trends.</w:t>
      </w:r>
    </w:p>
    <w:p>
      <w:pPr>
        <w:spacing w:after="120"/>
      </w:pPr>
      <w:r>
        <w:t xml:space="preserve">Detailed external context is maintained in QMS-REG-CTX-001.</w:t>
      </w:r>
    </w:p>
    <w:p>
      <w:pPr>
        <w:pStyle w:val="Heading1"/>
        <w:spacing w:after="160" w:before="280"/>
      </w:pPr>
      <w:r>
        <w:t xml:space="preserve">5. Internal Context (Cl. 4.1)</w:t>
      </w:r>
    </w:p>
    <w:p>
      <w:pPr>
        <w:spacing w:after="120"/>
      </w:pPr>
      <w:r>
        <w:t xml:space="preserve">The following internal context elements have been considered in defining the scope:</w:t>
      </w:r>
    </w:p>
    <w:p>
      <w:pPr>
        <w:pStyle w:val="ListParagraph"/>
        <w:numPr>
          <w:ilvl w:val="0"/>
          <w:numId w:val="2"/>
        </w:numPr>
        <w:spacing w:after="60"/>
      </w:pPr>
      <w:r>
        <w:t xml:space="preserve">Organisational structure, governance and resource capability.</w:t>
      </w:r>
    </w:p>
    <w:p>
      <w:pPr>
        <w:pStyle w:val="ListParagraph"/>
        <w:numPr>
          <w:ilvl w:val="0"/>
          <w:numId w:val="2"/>
        </w:numPr>
        <w:spacing w:after="60"/>
      </w:pPr>
      <w:r>
        <w:t xml:space="preserve">Existing quality culture, workforce competence and operational experience.</w:t>
      </w:r>
    </w:p>
    <w:p>
      <w:pPr>
        <w:pStyle w:val="ListParagraph"/>
        <w:numPr>
          <w:ilvl w:val="0"/>
          <w:numId w:val="2"/>
        </w:numPr>
        <w:spacing w:after="60"/>
      </w:pPr>
      <w:r>
        <w:t xml:space="preserve">Technology, equipment, processes and infrastructure.</w:t>
      </w:r>
    </w:p>
    <w:p>
      <w:pPr>
        <w:pStyle w:val="ListParagraph"/>
        <w:numPr>
          <w:ilvl w:val="0"/>
          <w:numId w:val="2"/>
        </w:numPr>
        <w:spacing w:after="60"/>
      </w:pPr>
      <w:r>
        <w:t xml:space="preserve">Contractual obligations, strategic goals and financial position.</w:t>
      </w:r>
    </w:p>
    <w:p>
      <w:pPr>
        <w:spacing w:after="120"/>
      </w:pPr>
      <w:r>
        <w:t xml:space="preserve">Detailed internal context is maintained in QMS-REG-CTX-001.</w:t>
      </w:r>
    </w:p>
    <w:p>
      <w:pPr>
        <w:pStyle w:val="Heading1"/>
        <w:spacing w:after="160" w:before="280"/>
      </w:pPr>
      <w:r>
        <w:t xml:space="preserve">6. Interested Parties (Cl. 4.2)</w:t>
      </w:r>
    </w:p>
    <w:p>
      <w:pPr>
        <w:spacing w:after="120"/>
      </w:pPr>
      <w:r>
        <w:t xml:space="preserve">Relevant interested parties whose requirements have been considered in defining the scope are listed in QMS-REG-INT-001.</w:t>
      </w:r>
    </w:p>
    <w:p>
      <w:pPr>
        <w:pStyle w:val="Heading1"/>
        <w:spacing w:after="160" w:before="280"/>
      </w:pPr>
      <w:r>
        <w:t xml:space="preserve">7. Scope Maintenance</w:t>
      </w:r>
    </w:p>
    <w:p>
      <w:pPr>
        <w:spacing w:after="120"/>
      </w:pPr>
      <w:r>
        <w:t xml:space="preserve">This scope statement is reviewed at least annually at Management Review and at any time a significant change occurs to:</w:t>
      </w:r>
    </w:p>
    <w:p>
      <w:pPr>
        <w:pStyle w:val="ListParagraph"/>
        <w:numPr>
          <w:ilvl w:val="0"/>
          <w:numId w:val="2"/>
        </w:numPr>
        <w:spacing w:after="60"/>
      </w:pPr>
      <w:r>
        <w:t xml:space="preserve">Products or services offered (addition or discontinuation).</w:t>
      </w:r>
    </w:p>
    <w:p>
      <w:pPr>
        <w:pStyle w:val="ListParagraph"/>
        <w:numPr>
          <w:ilvl w:val="0"/>
          <w:numId w:val="2"/>
        </w:numPr>
        <w:spacing w:after="60"/>
      </w:pPr>
      <w:r>
        <w:t xml:space="preserve">Sites of operation (acquisition, divestment, relocation).</w:t>
      </w:r>
    </w:p>
    <w:p>
      <w:pPr>
        <w:pStyle w:val="ListParagraph"/>
        <w:numPr>
          <w:ilvl w:val="0"/>
          <w:numId w:val="2"/>
        </w:numPr>
        <w:spacing w:after="60"/>
      </w:pPr>
      <w:r>
        <w:t xml:space="preserve">Applicable legislation, standards or certification requirements.</w:t>
      </w:r>
    </w:p>
    <w:p>
      <w:pPr>
        <w:pStyle w:val="ListParagraph"/>
        <w:numPr>
          <w:ilvl w:val="0"/>
          <w:numId w:val="2"/>
        </w:numPr>
        <w:spacing w:after="60"/>
      </w:pPr>
      <w:r>
        <w:t xml:space="preserve">Customer or contractual requirements that affect QMS boundaries.</w:t>
      </w:r>
    </w:p>
    <w:p>
      <w:pPr>
        <w:spacing w:after="120"/>
      </w:pPr>
      <w:r>
        <w:t xml:space="preserve">Changes to the scope statement require approval by the Managing Director and notification to the certification body.</w:t>
      </w:r>
    </w:p>
    <w:p>
      <w:pPr>
        <w:pStyle w:val="Heading1"/>
        <w:spacing w:after="160" w:before="280"/>
      </w:pPr>
      <w:r>
        <w:t xml:space="preserve">8. Availability</w:t>
      </w:r>
    </w:p>
    <w:p>
      <w:pPr>
        <w:spacing w:after="120"/>
      </w:pPr>
      <w:r>
        <w:t xml:space="preserve">This scope statement is maintained as documented information and is made available to interested parties on request. The current version is published on the [Organisation Name] intranet and is provided to the certification body at each audit.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Role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Name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Signature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Date</w:t>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Operations Manager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Managing Director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8F00" w:sz="12"/>
              <w:left w:val="single" w:color="BF8F00" w:sz="12"/>
              <w:bottom w:val="single" w:color="BF8F00" w:sz="4"/>
              <w:right w:val="single" w:color="BF8F00" w:sz="12"/>
            </w:tcBorders>
            <w:shd w:fill="BF8F00" w:val="clear"/>
            <w:tcMar>
              <w:top w:type="dxa" w:w="120"/>
              <w:left w:type="dxa" w:w="200"/>
              <w:bottom w:type="dxa" w:w="120"/>
              <w:right w:type="dxa" w:w="200"/>
            </w:tcMar>
          </w:tcPr>
          <w:p>
            <w:r>
              <w:rPr>
                <w:b/>
                <w:bCs/>
                <w:color w:val="FFFFFF"/>
                <w:sz w:val="22"/>
                <w:szCs w:val="22"/>
              </w:rPr>
              <w:t xml:space="preserve">✎  HOW TO COMPLETE THIS DOCUMENT  —  DELETE THIS SECTION BEFORE PUBLISHING</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i/>
                <w:iCs/>
                <w:color w:val="806000"/>
                <w:sz w:val="20"/>
                <w:szCs w:val="20"/>
              </w:rPr>
              <w:t xml:space="preserve">Use these notes to tailor, complete and finalise this document before publication. Delete this section once done.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1. Replace [Organisation Name] throughout with the organisation</w:t>
            </w:r>
          </w:p>
          <w:p>
            <w:r>
              <w:rPr>
                <w:color w:val="806000"/>
                <w:sz w:val="20"/>
                <w:szCs w:val="20"/>
              </w:rPr>
              <w:t xml:space="preserve">**'****s legal name** Use the exact name on the ISO certificate.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2. Write the Products and Services scope statement</w:t>
            </w:r>
          </w:p>
          <w:p>
            <w:r>
              <w:rPr>
                <w:color w:val="806000"/>
                <w:sz w:val="20"/>
                <w:szCs w:val="20"/>
              </w:rPr>
              <w:t xml:space="preserve">Be specific and verifiable. Avoid marketing language. List what you actually do, where, and for whom — at the activity level.</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3. List ALL sites of operation</w:t>
            </w:r>
          </w:p>
          <w:p>
            <w:r>
              <w:rPr>
                <w:color w:val="806000"/>
                <w:sz w:val="20"/>
                <w:szCs w:val="20"/>
              </w:rPr>
              <w:t xml:space="preserve">Head office, workshops, finishing yards, satellite offices. Omitting a site is a finding. Site work at customer locations is in scope regardless of location.</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4. Decide on Cl. 8.3 Design and Development applicability</w:t>
            </w:r>
          </w:p>
          <w:p>
            <w:r>
              <w:rPr>
                <w:color w:val="806000"/>
                <w:sz w:val="20"/>
                <w:szCs w:val="20"/>
              </w:rPr>
              <w:t xml:space="preserve">Most fabrication-only businesses exclude Cl. 8.3 with the justification that design is customer-supplied. If you do any design — even shop drawings of structural detail — Cl. 8.3 likely applies. Be honest.</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5. Document the Cl. 8.3 justification carefully</w:t>
            </w:r>
          </w:p>
          <w:p>
            <w:r>
              <w:rPr>
                <w:color w:val="806000"/>
                <w:sz w:val="20"/>
                <w:szCs w:val="20"/>
              </w:rPr>
              <w:t xml:space="preserve">Auditors scrutinise this. Generic text isn't enough — describe exactly how design happens (or doesn't happen) at [Organisation Name].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6. Add other applicable standards</w:t>
            </w:r>
          </w:p>
          <w:p>
            <w:r>
              <w:rPr>
                <w:color w:val="806000"/>
                <w:sz w:val="20"/>
                <w:szCs w:val="20"/>
              </w:rPr>
              <w:t xml:space="preserve">List the AS/NZS or ASTM standards your work is governed by.</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7. Get MD sign-off</w:t>
            </w:r>
          </w:p>
          <w:p>
            <w:r>
              <w:rPr>
                <w:color w:val="806000"/>
                <w:sz w:val="20"/>
                <w:szCs w:val="20"/>
              </w:rPr>
              <w:t xml:space="preserve">The MD must sign. Any change to scope requires MD approval AND notification to the certification body.</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8. Notify the certification body of any scope change</w:t>
            </w:r>
          </w:p>
          <w:p>
            <w:r>
              <w:rPr>
                <w:color w:val="806000"/>
                <w:sz w:val="20"/>
                <w:szCs w:val="20"/>
              </w:rPr>
              <w:t xml:space="preserve">Even a small scope change (new product line, new site) must be notified. Failure to notify can suspend certification.</w:t>
            </w:r>
          </w:p>
        </w:tc>
      </w:tr>
      <w:tr>
        <w:tc>
          <w:tcPr>
            <w:tcW w:type="dxa" w:w="9360"/>
            <w:tcBorders>
              <w:top w:val="none"/>
              <w:left w:val="single" w:color="BF8F00" w:sz="12"/>
              <w:bottom w:val="single" w:color="BF8F00" w:sz="12"/>
              <w:right w:val="single" w:color="BF8F00" w:sz="12"/>
            </w:tcBorders>
            <w:shd w:fill="FFF2CC" w:val="clear"/>
            <w:tcMar>
              <w:top w:type="dxa" w:w="120"/>
              <w:left w:type="dxa" w:w="200"/>
              <w:bottom w:type="dxa" w:w="120"/>
              <w:right w:type="dxa" w:w="200"/>
            </w:tcMar>
          </w:tcPr>
          <w:p>
            <w:r>
              <w:rPr>
                <w:b/>
                <w:bCs/>
                <w:color w:val="806000"/>
                <w:sz w:val="20"/>
                <w:szCs w:val="20"/>
              </w:rPr>
              <w:t xml:space="preserve">9. DELETE this guidance section before publishing</w:t>
            </w:r>
          </w:p>
          <w:p>
            <w:r>
              <w:rPr>
                <w:color w:val="806000"/>
                <w:sz w:val="20"/>
                <w:szCs w:val="20"/>
              </w:rPr>
              <w:t xml:space="preserve">Select the entire yellow-bordered block and delete.</w:t>
            </w:r>
          </w:p>
        </w:tc>
      </w:tr>
    </w:tbl>
    <w:p>
      <w:pPr>
        <w:spacing w:after="120"/>
      </w:pPr>
      <w:r>
        <w:t xml:space="preserve">QMS-SCO-001  •  Rev 2.0	CONTROLLED DOCUMENT — verify currency before use	Page  of</w:t>
      </w:r>
    </w:p>
    <w:sectPr>
      <w:headerReference w:type="default" r:id="rId7"/>
      <w:footerReference w:type="default" r:id="rId8"/>
      <w:pgSz w:w="11906" w:h="16838"/>
      <w:pgMar w:top="170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p>
    <w:pPr>
      <w:pBdr>
        <w:top w:val="single" w:color="BFBFBF" w:sz="4" w:space="4"/>
      </w:pBdr>
      <w:tabs>
        <w:tab w:val="center" w:pos="4680"/>
        <w:tab w:val="right" w:pos="9360"/>
      </w:tabs>
    </w:pPr>
    <w:r>
      <w:rPr>
        <w:color w:val="595959"/>
        <w:sz w:val="16"/>
        <w:szCs w:val="16"/>
      </w:rPr>
      <w:t xml:space="preserve">QMS-SCO-001  •  Rev 2.0</w:t>
    </w:r>
    <w:r>
      <w:rPr>
        <w:sz w:val="16"/>
        <w:szCs w:val="16"/>
      </w:rPr>
      <w:t>	</w:t>
    </w:r>
    <w:r>
      <w:rPr>
        <w:i/>
        <w:iCs/>
        <w:color w:val="595959"/>
        <w:sz w:val="16"/>
        <w:szCs w:val="16"/>
      </w:rPr>
      <w:t xml:space="preserve">CONTROLLED DOCUMENT — verify currency before use</w:t>
    </w:r>
    <w:r>
      <w:rPr>
        <w:sz w:val="16"/>
        <w:szCs w:val="16"/>
      </w:rPr>
      <w:t>	</w:t>
    </w: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tbl>
    <w:tblPr>
      <w:tblW w:type="dxa" w:w="9360"/>
      <w:tblBorders>
        <w:top w:val="none" w:sz="0"/>
        <w:left w:val="none" w:sz="0"/>
        <w:bottom w:val="single" w:color="000000" w:sz="8"/>
        <w:right w:val="none" w:sz="0"/>
        <w:insideH w:val="none" w:sz="0"/>
        <w:insideV w:val="none" w:sz="0"/>
      </w:tblBorders>
    </w:tblPr>
    <w:tblGrid>
      <w:gridCol w:w="2400"/>
      <w:gridCol w:w="5160"/>
      <w:gridCol w:w="1800"/>
    </w:tblGrid>
    <w:tr>
      <w:tc>
        <w:tcPr>
          <w:tcW w:type="dxa" w:w="2400"/>
          <w:tcBorders>
            <w:top w:val="none" w:sz="0"/>
            <w:left w:val="none" w:sz="0"/>
            <w:bottom w:val="single" w:color="000000" w:sz="8"/>
            <w:right w:val="none" w:sz="0"/>
          </w:tcBorders>
          <w:tcMar>
            <w:top w:type="dxa" w:w="60"/>
            <w:left w:type="dxa" w:w="80"/>
            <w:bottom w:type="dxa" w:w="80"/>
            <w:right w:type="dxa" w:w="80"/>
          </w:tcMar>
          <w:vAlign w:val="center"/>
        </w:tcPr>
        <w:p>
          <w:r>
            <w:rPr>
              <w:b/>
              <w:bCs/>
              <w:sz w:val="22"/>
              <w:szCs w:val="22"/>
            </w:rPr>
            <w:t xml:space="preserve">[ORGANISATION NAME]</w:t>
          </w:r>
        </w:p>
      </w:tc>
      <w:tc>
        <w:tcPr>
          <w:tcW w:type="dxa" w:w="5160"/>
          <w:tcBorders>
            <w:top w:val="none" w:sz="0"/>
            <w:left w:val="none" w:sz="0"/>
            <w:bottom w:val="single" w:color="000000" w:sz="8"/>
            <w:right w:val="none" w:sz="0"/>
          </w:tcBorders>
          <w:tcMar>
            <w:top w:type="dxa" w:w="60"/>
            <w:left w:type="dxa" w:w="80"/>
            <w:bottom w:type="dxa" w:w="80"/>
            <w:right w:type="dxa" w:w="80"/>
          </w:tcMar>
          <w:vAlign w:val="center"/>
        </w:tcPr>
        <w:p>
          <w:pPr>
            <w:spacing w:after="20"/>
            <w:jc w:val="center"/>
          </w:pPr>
          <w:r>
            <w:rPr>
              <w:b/>
              <w:bCs/>
              <w:sz w:val="20"/>
              <w:szCs w:val="20"/>
            </w:rPr>
            <w:t xml:space="preserve">QMS Scope Document</w:t>
          </w:r>
        </w:p>
        <w:p>
          <w:pPr>
            <w:jc w:val="center"/>
          </w:pPr>
          <w:r>
            <w:rPr>
              <w:i/>
              <w:iCs/>
              <w:color w:val="595959"/>
              <w:sz w:val="16"/>
              <w:szCs w:val="16"/>
            </w:rPr>
            <w:t xml:space="preserve">ISO 9001:2015 — Cl. 4.3</w:t>
          </w:r>
        </w:p>
      </w:tc>
      <w:tc>
        <w:tcPr>
          <w:tcW w:type="dxa" w:w="1800"/>
          <w:tcBorders>
            <w:top w:val="none" w:sz="0"/>
            <w:left w:val="none" w:sz="0"/>
            <w:bottom w:val="single" w:color="000000" w:sz="8"/>
            <w:right w:val="none" w:sz="0"/>
          </w:tcBorders>
          <w:tcMar>
            <w:top w:type="dxa" w:w="60"/>
            <w:left w:type="dxa" w:w="80"/>
            <w:bottom w:type="dxa" w:w="80"/>
            <w:right w:type="dxa" w:w="80"/>
          </w:tcMar>
          <w:vAlign w:val="center"/>
        </w:tcPr>
        <w:p>
          <w:pPr>
            <w:jc w:val="right"/>
          </w:pPr>
          <w:r>
            <w:rPr>
              <w:b/>
              <w:bCs/>
              <w:sz w:val="18"/>
              <w:szCs w:val="18"/>
            </w:rPr>
            <w:t xml:space="preserve">QMS-SCO-001</w:t>
          </w:r>
        </w:p>
      </w:tc>
    </w:tr>
  </w:tbl>
  <w:p>
    <w:pPr>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lvl w:ilvl="1" w15:tentative="1">
      <w:start w:val="1"/>
      <w:numFmt w:val="bullet"/>
      <w:lvlText w:val="○"/>
      <w:lvlJc w:val="left"/>
      <w:pPr>
        <w:ind w:left="1080" w:hanging="270"/>
      </w:pPr>
    </w:lvl>
  </w:abstractNum>
  <w:abstractNum w:abstractNumId="3" w15:restartNumberingAfterBreak="0">
    <w:multiLevelType w:val="hybridMultilevel"/>
    <w:lvl w:ilvl="0" w15:tentative="1">
      <w:start w:val="1"/>
      <w:numFmt w:val="decimal"/>
      <w:lvlText w:val="%1."/>
      <w:lvlJc w:val="left"/>
      <w:pPr>
        <w:ind w:left="540" w:hanging="360"/>
      </w:pPr>
    </w:lvl>
    <w:lvl w:ilvl="1" w15:tentative="1">
      <w:start w:val="1"/>
      <w:numFmt w:val="lowerLetter"/>
      <w:lvlText w:val="%2."/>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Calibri" w:cs="Calibri" w:eastAsia="Calibri" w:hAnsi="Calibri"/>
      <w:b/>
      <w:bCs/>
      <w:color w:val="000000"/>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000000"/>
      <w:sz w:val="24"/>
      <w:szCs w:val="24"/>
    </w:rPr>
  </w:style>
  <w:style w:type="paragraph" w:styleId="Heading3">
    <w:name w:val="Heading 3"/>
    <w:basedOn w:val="Normal"/>
    <w:next w:val="Normal"/>
    <w:qFormat/>
    <w:pPr>
      <w:spacing w:after="80" w:before="160"/>
      <w:outlineLvl w:val="2"/>
    </w:pPr>
    <w:rPr>
      <w:rFonts w:ascii="Calibri" w:cs="Calibri" w:eastAsia="Calibri" w:hAnsi="Calibri"/>
      <w:b/>
      <w:bCs/>
      <w:color w:val="00000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8" Type="http://schemas.openxmlformats.org/officeDocument/2006/relationships/footer" Target="footer1.xml"/><Relationship Id="rId3" Type="http://schemas.openxmlformats.org/officeDocument/2006/relationships/footnotes" Target="footnote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customXml" Target="../customXml/item1.xml"/><Relationship Id="rId4" Type="http://schemas.openxmlformats.org/officeDocument/2006/relationships/endnotes" Target="endnotes.xml"/><Relationship Id="rId9" Type="http://schemas.openxmlformats.org/officeDocument/2006/relationships/fontTable" Target="fontTable.xml"/><Relationship Id="rId13" Type="http://schemas.openxmlformats.org/officeDocument/2006/relationships/image" Target="media/veridian-brand-logo.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6364ACEF46547A497B4A5415725FE" ma:contentTypeVersion="12" ma:contentTypeDescription="Create a new document." ma:contentTypeScope="" ma:versionID="ab1c4ce4049acbd08511e59f4651f980">
  <xsd:schema xmlns:xsd="http://www.w3.org/2001/XMLSchema" xmlns:xs="http://www.w3.org/2001/XMLSchema" xmlns:p="http://schemas.microsoft.com/office/2006/metadata/properties" xmlns:ns2="4a866069-fdb1-4df2-8c46-d5413dfe9f74" xmlns:ns3="d3771acf-91e9-423a-a822-9232ae7f0a01" targetNamespace="http://schemas.microsoft.com/office/2006/metadata/properties" ma:root="true" ma:fieldsID="1ab1b480d1a19c9e738f994221842227" ns2:_="" ns3:_="">
    <xsd:import namespace="4a866069-fdb1-4df2-8c46-d5413dfe9f74"/>
    <xsd:import namespace="d3771acf-91e9-423a-a822-9232ae7f0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66069-fdb1-4df2-8c46-d5413dfe9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a9f55f-dce0-4ad3-86af-47d9360111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71acf-91e9-423a-a822-9232ae7f0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95e18d-3db4-4792-a8ff-b8fb91af6e3b}" ma:internalName="TaxCatchAll" ma:showField="CatchAllData" ma:web="d3771acf-91e9-423a-a822-9232ae7f0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71acf-91e9-423a-a822-9232ae7f0a01" xsi:nil="true"/>
    <lcf76f155ced4ddcb4097134ff3c332f xmlns="4a866069-fdb1-4df2-8c46-d5413dfe9f74">
      <Terms xmlns="http://schemas.microsoft.com/office/infopath/2007/PartnerControls"/>
    </lcf76f155ced4ddcb4097134ff3c332f>
    <Notes xmlns="4a866069-fdb1-4df2-8c46-d5413dfe9f74" xsi:nil="true"/>
  </documentManagement>
</p:properties>
</file>

<file path=customXml/itemProps1.xml><?xml version="1.0" encoding="utf-8"?>
<ds:datastoreItem xmlns:ds="http://schemas.openxmlformats.org/officeDocument/2006/customXml" ds:itemID="{2083B6A1-CA05-4CEA-A595-445583B400E2}"/>
</file>

<file path=customXml/itemProps2.xml><?xml version="1.0" encoding="utf-8"?>
<ds:datastoreItem xmlns:ds="http://schemas.openxmlformats.org/officeDocument/2006/customXml" ds:itemID="{8824205E-1F63-429B-9DA2-8D553614ED5E}"/>
</file>

<file path=customXml/itemProps3.xml><?xml version="1.0" encoding="utf-8"?>
<ds:datastoreItem xmlns:ds="http://schemas.openxmlformats.org/officeDocument/2006/customXml" ds:itemID="{52D0A115-D5F7-4542-81BC-795A1608912B}"/>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2026-05-29T22:54:00Z</dcterms:created>
  <dcterms:modified xsi:type="dcterms:W3CDTF">2026-05-29T22:54:00Z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0x0101008FC6364ACEF46547A497B4A5415725FE</vt:lpwstr>
  </property>
</Properties>
</file>