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body>
    <w:p>
      <w:pPr>
        <w:spacing w:after="240" w:before="0"/>
      </w:pPr>
      <w:r>
        <w:rPr>
          <w:b/>
          <w:bCs/>
          <w:sz w:val="36"/>
          <w:szCs w:val="36"/>
        </w:rPr>
        <w:t xml:space="preserve">Training and Competence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2000"/>
        <w:gridCol w:w="3160"/>
      </w:tblGrid>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Document No.</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QMS-REG-TRN-001</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Standard</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ISO 9001:2015 Cl. 7.2, 7.3</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Revision</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2.0</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Issue Date</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Review Frequency</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Annual / on role change</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Owner</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r>
    </w:tbl>
    <w:p>
      <w:pPr>
        <w:pStyle w:val="Heading1"/>
        <w:spacing w:after="160" w:before="280"/>
      </w:pPr>
      <w:r>
        <w:t xml:space="preserve">1. Purpose</w:t>
      </w:r>
    </w:p>
    <w:p>
      <w:pPr>
        <w:spacing w:after="120"/>
      </w:pPr>
      <w:r>
        <w:t xml:space="preserve">This document defines the competence requirements for each role that affects quality performance, records training completed against those requirements, and provides the basis for identifying and closing competence gaps. It supports compliance with Clauses 7.2 (Competence) and 7.3 (Awareness) of ISO 9001:2015.</w:t>
      </w:r>
    </w:p>
    <w:p>
      <w:pPr>
        <w:pStyle w:val="Heading1"/>
        <w:spacing w:after="160" w:before="280"/>
      </w:pPr>
      <w:r>
        <w:t xml:space="preserve">2. Competence Framework</w:t>
      </w:r>
    </w:p>
    <w:p>
      <w:pPr>
        <w:spacing w:after="120"/>
      </w:pPr>
      <w:r>
        <w:t xml:space="preserve">Competence is the ability to apply knowledge and skills to achieve intended results. [Organisation Name] determines competence based on a combination of:</w:t>
      </w:r>
    </w:p>
    <w:p>
      <w:pPr>
        <w:pStyle w:val="ListParagraph"/>
        <w:numPr>
          <w:ilvl w:val="0"/>
          <w:numId w:val="2"/>
        </w:numPr>
        <w:spacing w:after="60"/>
      </w:pPr>
      <w:r>
        <w:rPr>
          <w:b/>
          <w:bCs/>
        </w:rPr>
        <w:t xml:space="preserve">Education — </w:t>
      </w:r>
      <w:r>
        <w:t xml:space="preserve"> Formal qualifications relevant to the role.</w:t>
      </w:r>
    </w:p>
    <w:p>
      <w:pPr>
        <w:pStyle w:val="ListParagraph"/>
        <w:numPr>
          <w:ilvl w:val="0"/>
          <w:numId w:val="2"/>
        </w:numPr>
        <w:spacing w:after="60"/>
      </w:pPr>
      <w:r>
        <w:rPr>
          <w:b/>
          <w:bCs/>
        </w:rPr>
        <w:t xml:space="preserve">Training — </w:t>
      </w:r>
      <w:r>
        <w:t xml:space="preserve"> Specific training programmes completed.</w:t>
      </w:r>
    </w:p>
    <w:p>
      <w:pPr>
        <w:pStyle w:val="ListParagraph"/>
        <w:numPr>
          <w:ilvl w:val="0"/>
          <w:numId w:val="2"/>
        </w:numPr>
        <w:spacing w:after="60"/>
      </w:pPr>
      <w:r>
        <w:rPr>
          <w:b/>
          <w:bCs/>
        </w:rPr>
        <w:t xml:space="preserve">Skills — </w:t>
      </w:r>
      <w:r>
        <w:t xml:space="preserve"> Demonstrated practical ability.</w:t>
      </w:r>
    </w:p>
    <w:p>
      <w:pPr>
        <w:pStyle w:val="ListParagraph"/>
        <w:numPr>
          <w:ilvl w:val="0"/>
          <w:numId w:val="2"/>
        </w:numPr>
        <w:spacing w:after="60"/>
      </w:pPr>
      <w:r>
        <w:rPr>
          <w:b/>
          <w:bCs/>
        </w:rPr>
        <w:t xml:space="preserve">Experience — </w:t>
      </w:r>
      <w:r>
        <w:t xml:space="preserve"> Time and exposure in role or relevant prior work.</w:t>
      </w:r>
    </w:p>
    <w:p>
      <w:pPr>
        <w:pStyle w:val="Heading1"/>
        <w:spacing w:after="160" w:before="280"/>
      </w:pPr>
      <w:r>
        <w:t xml:space="preserve">3. Legend</w:t>
      </w:r>
    </w:p>
    <w:p>
      <w:pPr>
        <w:pStyle w:val="ListParagraph"/>
        <w:numPr>
          <w:ilvl w:val="0"/>
          <w:numId w:val="2"/>
        </w:numPr>
        <w:spacing w:after="60"/>
      </w:pPr>
      <w:r>
        <w:rPr>
          <w:b/>
          <w:bCs/>
        </w:rPr>
        <w:t xml:space="preserve">R — Required: </w:t>
      </w:r>
      <w:r>
        <w:t xml:space="preserve"> Must be held current. Personnel cannot perform the role until the competency is demonstrated.</w:t>
      </w:r>
    </w:p>
    <w:p>
      <w:pPr>
        <w:pStyle w:val="ListParagraph"/>
        <w:numPr>
          <w:ilvl w:val="0"/>
          <w:numId w:val="2"/>
        </w:numPr>
        <w:spacing w:after="60"/>
      </w:pPr>
      <w:r>
        <w:rPr>
          <w:b/>
          <w:bCs/>
        </w:rPr>
        <w:t xml:space="preserve">D — Desirable: </w:t>
      </w:r>
      <w:r>
        <w:t xml:space="preserve"> Significantly enhances effectiveness in the role. Target for development.</w:t>
      </w:r>
    </w:p>
    <w:p>
      <w:pPr>
        <w:pStyle w:val="ListParagraph"/>
        <w:numPr>
          <w:ilvl w:val="0"/>
          <w:numId w:val="2"/>
        </w:numPr>
        <w:spacing w:after="60"/>
      </w:pPr>
      <w:r>
        <w:rPr>
          <w:b/>
          <w:bCs/>
        </w:rPr>
        <w:t xml:space="preserve">N/A — Not Applicable: </w:t>
      </w:r>
      <w:r>
        <w:t xml:space="preserve"> Not relevant to this role.</w:t>
      </w:r>
    </w:p>
    <w:p>
      <w:pPr>
        <w:pStyle w:val="Heading1"/>
        <w:spacing w:after="160" w:before="280"/>
      </w:pPr>
      <w:r>
        <w:t xml:space="preserve">4. Part A — Competence Requirements by Role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1800"/>
        <w:gridCol w:w="1800"/>
        <w:gridCol w:w="1800"/>
        <w:gridCol w:w="1800"/>
        <w:gridCol w:w="1160"/>
      </w:tblGrid>
      <w:tr>
        <w:trPr>
          <w:tblHeader/>
        </w:trPr>
        <w:tc>
          <w:tcPr>
            <w:tcW w:type="dxa" w:w="1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Training / Competency</w:t>
            </w:r>
          </w:p>
        </w:tc>
        <w:tc>
          <w:tcPr>
            <w:tcW w:type="dxa" w:w="18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Manager</w:t>
            </w:r>
          </w:p>
        </w:tc>
        <w:tc>
          <w:tcPr>
            <w:tcW w:type="dxa" w:w="18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Supervisor</w:t>
            </w:r>
          </w:p>
        </w:tc>
        <w:tc>
          <w:tcPr>
            <w:tcW w:type="dxa" w:w="18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Operator</w:t>
            </w:r>
          </w:p>
        </w:tc>
        <w:tc>
          <w:tcPr>
            <w:tcW w:type="dxa" w:w="18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Admin</w:t>
            </w:r>
          </w:p>
        </w:tc>
        <w:tc>
          <w:tcPr>
            <w:tcW w:type="dxa" w:w="116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Contractor</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System Awareness (Policy, Objectives, Scope)</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Induction — Site, WHS, Quality</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Emergency Response</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Relevant Procedure Training (role-specific)</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Internal Audit (where the role is an auditor)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Root Cause Analysis (5-Why, Fishbone, ICAM)</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First Aid</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Role-specific Technical Competency</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Welding Qualification (where applicable)</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NDT Certification (where applicable)</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Licence / Ticket (where required)</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 Documentation (latest revisions)</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r>
      <w:tr>
        <w:tc>
          <w:tcPr>
            <w:tcW w:type="dxa" w:w="1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Risk-Based Thinking Awareness</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w:t>
            </w:r>
          </w:p>
        </w:tc>
        <w:tc>
          <w:tcPr>
            <w:tcW w:type="dxa" w:w="1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w:t>
            </w:r>
          </w:p>
        </w:tc>
      </w:tr>
    </w:tbl>
    <w:p>
      <w:pPr>
        <w:pStyle w:val="Heading1"/>
        <w:spacing w:after="160" w:before="280"/>
      </w:pPr>
      <w:r>
        <w:t xml:space="preserve">5. Part B — Individual Training Records</w:t>
      </w:r>
    </w:p>
    <w:p>
      <w:pPr>
        <w:spacing w:after="120"/>
      </w:pPr>
      <w:r>
        <w:t xml:space="preserve">Each employee and contractor has an individual training record. Records are linked to evidence (certificates, sign-off sheets, assessment results) and reviewed on role change.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Role</w:t>
            </w:r>
          </w:p>
        </w:tc>
        <w:tc>
          <w:tcPr>
            <w:tcW w:type="dxa" w:w="676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Key Responsibilities</w:t>
            </w:r>
          </w:p>
        </w:tc>
      </w:tr>
      <w:tr>
        <w:tc>
          <w:tcPr>
            <w:tcW w:type="dxa" w:w="26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Name</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Role</w:t>
            </w:r>
          </w:p>
        </w:tc>
      </w:tr>
    </w:tbl>
    <w:p>
      <w:pPr>
        <w:pStyle w:val="Heading1"/>
        <w:spacing w:after="160" w:before="280"/>
      </w:pPr>
      <w:r>
        <w:t xml:space="preserve">6. Identifying and Closing Competence Gaps</w:t>
      </w:r>
    </w:p>
    <w:p>
      <w:pPr>
        <w:spacing w:after="120"/>
      </w:pPr>
      <w:r>
        <w:t xml:space="preserve">The Quality Manager (with input from line managers) performs an annual competence gap analysis:</w:t>
      </w:r>
    </w:p>
    <w:p>
      <w:pPr>
        <w:pStyle w:val="ListParagraph"/>
        <w:numPr>
          <w:ilvl w:val="0"/>
          <w:numId w:val="2"/>
        </w:numPr>
        <w:spacing w:after="60"/>
      </w:pPr>
      <w:r>
        <w:t xml:space="preserve">Compare current personnel competency records against Part A requirements for their role.</w:t>
      </w:r>
    </w:p>
    <w:p>
      <w:pPr>
        <w:pStyle w:val="ListParagraph"/>
        <w:numPr>
          <w:ilvl w:val="0"/>
          <w:numId w:val="2"/>
        </w:numPr>
        <w:spacing w:after="60"/>
      </w:pPr>
      <w:r>
        <w:t xml:space="preserve">Identify gaps and rank by criticality (impact on quality performance and number of personnel affected).</w:t>
      </w:r>
    </w:p>
    <w:p>
      <w:pPr>
        <w:pStyle w:val="ListParagraph"/>
        <w:numPr>
          <w:ilvl w:val="0"/>
          <w:numId w:val="2"/>
        </w:numPr>
        <w:spacing w:after="60"/>
      </w:pPr>
      <w:r>
        <w:t xml:space="preserve">Develop a training plan addressing prioritised gaps.</w:t>
      </w:r>
    </w:p>
    <w:p>
      <w:pPr>
        <w:pStyle w:val="ListParagraph"/>
        <w:numPr>
          <w:ilvl w:val="0"/>
          <w:numId w:val="2"/>
        </w:numPr>
        <w:spacing w:after="60"/>
      </w:pPr>
      <w:r>
        <w:t xml:space="preserve">Track completion and verify effectiveness.</w:t>
      </w:r>
    </w:p>
    <w:p>
      <w:pPr>
        <w:spacing w:after="120"/>
      </w:pPr>
      <w:r>
        <w:t xml:space="preserve">Training plans are presented at Management Review and form part of the budget process.</w:t>
      </w:r>
    </w:p>
    <w:p>
      <w:pPr>
        <w:pStyle w:val="Heading1"/>
        <w:spacing w:after="160" w:before="280"/>
      </w:pPr>
      <w:r>
        <w:t xml:space="preserve">7. Awareness Requirements (Cl. 7.3)</w:t>
      </w:r>
    </w:p>
    <w:p>
      <w:pPr>
        <w:spacing w:after="120"/>
      </w:pPr>
      <w:r>
        <w:t xml:space="preserve">All personnel performing work under the organisation's control are made aware of:</w:t>
      </w:r>
    </w:p>
    <w:p>
      <w:pPr>
        <w:pStyle w:val="ListParagraph"/>
        <w:numPr>
          <w:ilvl w:val="0"/>
          <w:numId w:val="2"/>
        </w:numPr>
        <w:spacing w:after="60"/>
      </w:pPr>
      <w:r>
        <w:t xml:space="preserve">The Quality Policy (QMS-POL-001).</w:t>
      </w:r>
    </w:p>
    <w:p>
      <w:pPr>
        <w:pStyle w:val="ListParagraph"/>
        <w:numPr>
          <w:ilvl w:val="0"/>
          <w:numId w:val="2"/>
        </w:numPr>
        <w:spacing w:after="60"/>
      </w:pPr>
      <w:r>
        <w:t xml:space="preserve">Relevant Quality Objectives and the contribution of their work to achieving them.</w:t>
      </w:r>
    </w:p>
    <w:p>
      <w:pPr>
        <w:pStyle w:val="ListParagraph"/>
        <w:numPr>
          <w:ilvl w:val="0"/>
          <w:numId w:val="2"/>
        </w:numPr>
        <w:spacing w:after="60"/>
      </w:pPr>
      <w:r>
        <w:t xml:space="preserve">The benefits of improved quality performance.</w:t>
      </w:r>
    </w:p>
    <w:p>
      <w:pPr>
        <w:pStyle w:val="ListParagraph"/>
        <w:numPr>
          <w:ilvl w:val="0"/>
          <w:numId w:val="2"/>
        </w:numPr>
        <w:spacing w:after="60"/>
      </w:pPr>
      <w:r>
        <w:t xml:space="preserve">The implications of not conforming with the QMS.</w:t>
      </w:r>
    </w:p>
    <w:p>
      <w:pPr>
        <w:pStyle w:val="ListParagraph"/>
        <w:numPr>
          <w:ilvl w:val="0"/>
          <w:numId w:val="2"/>
        </w:numPr>
        <w:spacing w:after="60"/>
      </w:pPr>
      <w:r>
        <w:t xml:space="preserve">How and where to raise quality concerns or improvement suggestions.</w:t>
      </w:r>
    </w:p>
    <w:p>
      <w:pPr>
        <w:pStyle w:val="Heading1"/>
        <w:spacing w:after="160" w:before="280"/>
      </w:pPr>
      <w:r>
        <w:t xml:space="preserve">8. Evaluating Training Effectiveness</w:t>
      </w:r>
    </w:p>
    <w:p>
      <w:pPr>
        <w:spacing w:after="120"/>
      </w:pPr>
      <w:r>
        <w:t xml:space="preserve">Training is not effective until it changes behaviour. Effectiveness is evaluated using a tiered approach:</w:t>
      </w:r>
    </w:p>
    <w:p>
      <w:pPr>
        <w:pStyle w:val="Heading2"/>
        <w:spacing w:after="100" w:before="200"/>
      </w:pPr>
      <w:r>
        <w:t xml:space="preserve">Level 1 — Reaction</w:t>
      </w:r>
    </w:p>
    <w:p>
      <w:pPr>
        <w:spacing w:after="120"/>
      </w:pPr>
      <w:r>
        <w:t xml:space="preserve">Did the participant find the training relevant and well-delivered? Evaluated via post-training feedback form.</w:t>
      </w:r>
    </w:p>
    <w:p>
      <w:pPr>
        <w:pStyle w:val="Heading2"/>
        <w:spacing w:after="100" w:before="200"/>
      </w:pPr>
      <w:r>
        <w:t xml:space="preserve">Level 2 — Knowledge</w:t>
      </w:r>
    </w:p>
    <w:p>
      <w:pPr>
        <w:spacing w:after="120"/>
      </w:pPr>
      <w:r>
        <w:t xml:space="preserve">Did the participant acquire the intended knowledge? Evaluated via quiz, assessment, or knowledge check.</w:t>
      </w:r>
    </w:p>
    <w:p>
      <w:pPr>
        <w:pStyle w:val="Heading2"/>
        <w:spacing w:after="100" w:before="200"/>
      </w:pPr>
      <w:r>
        <w:t xml:space="preserve">Level 3 — Application</w:t>
      </w:r>
    </w:p>
    <w:p>
      <w:pPr>
        <w:spacing w:after="120"/>
      </w:pPr>
      <w:r>
        <w:t xml:space="preserve">Is the participant applying the knowledge on the job? Evaluated via supervisor observation, work output review, or audit finding trends.</w:t>
      </w:r>
    </w:p>
    <w:p>
      <w:pPr>
        <w:pStyle w:val="Heading2"/>
        <w:spacing w:after="100" w:before="200"/>
      </w:pPr>
      <w:r>
        <w:t xml:space="preserve">Level 4 — Outcomes</w:t>
      </w:r>
    </w:p>
    <w:p>
      <w:pPr>
        <w:spacing w:after="120"/>
      </w:pPr>
      <w:r>
        <w:t xml:space="preserve">Is the training affecting quality outcomes? Evaluated via KPI trends — first-pass quality, complaint rates, NCR rates.</w:t>
      </w:r>
    </w:p>
    <w:p>
      <w:pPr>
        <w:spacing w:after="120"/>
      </w:pPr>
      <w:r>
        <w:t xml:space="preserve">Level 1 and 2 are completed for all training. Levels 3 and 4 are completed for training targeted at addressing specific performance issues.</w:t>
      </w:r>
    </w:p>
    <w:p>
      <w:pPr>
        <w:pStyle w:val="Heading1"/>
        <w:spacing w:after="160" w:before="280"/>
      </w:pPr>
      <w:r>
        <w:t xml:space="preserve">9. Records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Competence Matrix</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Maintained by Quality Manager. Reviewed annually.</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Individual Training Records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Filed with HR. Retained for duration of employment + 7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Training certificates and licences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Evidence filed against training record. Copies maintained centrally.</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Training effectiveness records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Linked to training delivery. Retained 5 years.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Role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Name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Signature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Date</w:t>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HR / Training Coordinator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Managing Director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8F00" w:sz="12"/>
              <w:left w:val="single" w:color="BF8F00" w:sz="12"/>
              <w:bottom w:val="single" w:color="BF8F00" w:sz="4"/>
              <w:right w:val="single" w:color="BF8F00" w:sz="12"/>
            </w:tcBorders>
            <w:shd w:fill="BF8F00" w:val="clear"/>
            <w:tcMar>
              <w:top w:type="dxa" w:w="120"/>
              <w:left w:type="dxa" w:w="200"/>
              <w:bottom w:type="dxa" w:w="120"/>
              <w:right w:type="dxa" w:w="200"/>
            </w:tcMar>
          </w:tcPr>
          <w:p>
            <w:r>
              <w:rPr>
                <w:b/>
                <w:bCs/>
                <w:color w:val="FFFFFF"/>
                <w:sz w:val="22"/>
                <w:szCs w:val="22"/>
              </w:rPr>
              <w:t xml:space="preserve">✎  HOW TO COMPLETE THIS DOCUMENT  —  DELETE THIS SECTION BEFORE PUBLISHING</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i/>
                <w:iCs/>
                <w:color w:val="806000"/>
                <w:sz w:val="20"/>
                <w:szCs w:val="20"/>
              </w:rPr>
              <w:t xml:space="preserve">Use these notes to tailor, complete and finalise this document before publication. Delete this section once done.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1. Adjust role columns</w:t>
            </w:r>
          </w:p>
          <w:p>
            <w:r>
              <w:rPr>
                <w:color w:val="806000"/>
                <w:sz w:val="20"/>
                <w:szCs w:val="20"/>
              </w:rPr>
              <w:t xml:space="preserve">The matrix shows Manager / Supervisor / Operator / Admin / Contractor. Add or remove columns to match your actual structure (e.g. add 'QA Inspector', 'Welder', 'Estimator').</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2. Tailor competency rows</w:t>
            </w:r>
          </w:p>
          <w:p>
            <w:r>
              <w:rPr>
                <w:color w:val="806000"/>
                <w:sz w:val="20"/>
                <w:szCs w:val="20"/>
              </w:rPr>
              <w:t xml:space="preserve">Add training specific to your work — for example: 'AS/NZS 1554 Welding Inspector', 'Crane operator HRWL', 'EWP licence', 'Confined space entry'.</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3. Confirm R/D/N/A flags</w:t>
            </w:r>
          </w:p>
          <w:p>
            <w:r>
              <w:rPr>
                <w:color w:val="806000"/>
                <w:sz w:val="20"/>
                <w:szCs w:val="20"/>
              </w:rPr>
              <w:t xml:space="preserve">Walk each row with the relevant line manager. They know what's actually needed.</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4. Populate Part B for all current employees</w:t>
            </w:r>
          </w:p>
          <w:p>
            <w:r>
              <w:rPr>
                <w:color w:val="806000"/>
                <w:sz w:val="20"/>
                <w:szCs w:val="20"/>
              </w:rPr>
              <w:t xml:space="preserve">Use existing HR records as the source. Confirm each person against their role's required competencies.</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5. Identify expired or missing competencies</w:t>
            </w:r>
          </w:p>
          <w:p>
            <w:r>
              <w:rPr>
                <w:color w:val="806000"/>
                <w:sz w:val="20"/>
                <w:szCs w:val="20"/>
              </w:rPr>
              <w:t xml:space="preserve">Any 'R' competency that's expired or missing is a gap. Build a closure plan.</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6. Set up expiry tracking</w:t>
            </w:r>
          </w:p>
          <w:p>
            <w:r>
              <w:rPr>
                <w:color w:val="806000"/>
                <w:sz w:val="20"/>
                <w:szCs w:val="20"/>
              </w:rPr>
              <w:t xml:space="preserve">Diarise expiry dates 60 days ahead so renewals can be planned. The QMS Portal can automate this.</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7. Integrate with induction</w:t>
            </w:r>
          </w:p>
          <w:p>
            <w:r>
              <w:rPr>
                <w:color w:val="806000"/>
                <w:sz w:val="20"/>
                <w:szCs w:val="20"/>
              </w:rPr>
              <w:t xml:space="preserve">Add 'check competency matrix' to the new-starter onboarding checklist.</w:t>
            </w:r>
          </w:p>
        </w:tc>
      </w:tr>
      <w:tr>
        <w:tc>
          <w:tcPr>
            <w:tcW w:type="dxa" w:w="9360"/>
            <w:tcBorders>
              <w:top w:val="none"/>
              <w:left w:val="single" w:color="BF8F00" w:sz="12"/>
              <w:bottom w:val="single" w:color="BF8F00" w:sz="12"/>
              <w:right w:val="single" w:color="BF8F00" w:sz="12"/>
            </w:tcBorders>
            <w:shd w:fill="FFF2CC" w:val="clear"/>
            <w:tcMar>
              <w:top w:type="dxa" w:w="120"/>
              <w:left w:type="dxa" w:w="200"/>
              <w:bottom w:type="dxa" w:w="120"/>
              <w:right w:type="dxa" w:w="200"/>
            </w:tcMar>
          </w:tcPr>
          <w:p>
            <w:r>
              <w:rPr>
                <w:b/>
                <w:bCs/>
                <w:color w:val="806000"/>
                <w:sz w:val="20"/>
                <w:szCs w:val="20"/>
              </w:rPr>
              <w:t xml:space="preserve">8. DELETE this guidance section before publishing</w:t>
            </w:r>
          </w:p>
          <w:p>
            <w:r>
              <w:rPr>
                <w:color w:val="806000"/>
                <w:sz w:val="20"/>
                <w:szCs w:val="20"/>
              </w:rPr>
              <w:t xml:space="preserve">Select the entire yellow-bordered block and delete.</w:t>
            </w:r>
          </w:p>
        </w:tc>
      </w:tr>
    </w:tbl>
    <w:p>
      <w:pPr>
        <w:spacing w:after="120"/>
      </w:pPr>
      <w:r>
        <w:t xml:space="preserve">QMS-REG-TRN-001  •  Rev 2.0	CONTROLLED DOCUMENT — verify currency before use	Page  of</w:t>
      </w:r>
    </w:p>
    <w:sectPr>
      <w:headerReference w:type="default" r:id="rId7"/>
      <w:footerReference w:type="default" r:id="rId8"/>
      <w:pgSz w:w="11906" w:h="16838"/>
      <w:pgMar w:top="170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p>
    <w:pPr>
      <w:pBdr>
        <w:top w:val="single" w:color="BFBFBF" w:sz="4" w:space="4"/>
      </w:pBdr>
      <w:tabs>
        <w:tab w:val="center" w:pos="4680"/>
        <w:tab w:val="right" w:pos="9360"/>
      </w:tabs>
    </w:pPr>
    <w:r>
      <w:rPr>
        <w:color w:val="595959"/>
        <w:sz w:val="16"/>
        <w:szCs w:val="16"/>
      </w:rPr>
      <w:t xml:space="preserve">QMS-REG-TRN-001  •  Rev 2.0</w:t>
    </w:r>
    <w:r>
      <w:rPr>
        <w:sz w:val="16"/>
        <w:szCs w:val="16"/>
      </w:rPr>
      <w:t>	</w:t>
    </w:r>
    <w:r>
      <w:rPr>
        <w:i/>
        <w:iCs/>
        <w:color w:val="595959"/>
        <w:sz w:val="16"/>
        <w:szCs w:val="16"/>
      </w:rPr>
      <w:t xml:space="preserve">CONTROLLED DOCUMENT — verify currency before use</w:t>
    </w:r>
    <w:r>
      <w:rPr>
        <w:sz w:val="16"/>
        <w:szCs w:val="16"/>
      </w:rPr>
      <w:t>	</w:t>
    </w: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tbl>
    <w:tblPr>
      <w:tblW w:type="dxa" w:w="9360"/>
      <w:tblBorders>
        <w:top w:val="none" w:sz="0"/>
        <w:left w:val="none" w:sz="0"/>
        <w:bottom w:val="single" w:color="000000" w:sz="8"/>
        <w:right w:val="none" w:sz="0"/>
        <w:insideH w:val="none" w:sz="0"/>
        <w:insideV w:val="none" w:sz="0"/>
      </w:tblBorders>
    </w:tblPr>
    <w:tblGrid>
      <w:gridCol w:w="2400"/>
      <w:gridCol w:w="5160"/>
      <w:gridCol w:w="1800"/>
    </w:tblGrid>
    <w:tr>
      <w:tc>
        <w:tcPr>
          <w:tcW w:type="dxa" w:w="2400"/>
          <w:tcBorders>
            <w:top w:val="none" w:sz="0"/>
            <w:left w:val="none" w:sz="0"/>
            <w:bottom w:val="single" w:color="000000" w:sz="8"/>
            <w:right w:val="none" w:sz="0"/>
          </w:tcBorders>
          <w:tcMar>
            <w:top w:type="dxa" w:w="60"/>
            <w:left w:type="dxa" w:w="80"/>
            <w:bottom w:type="dxa" w:w="80"/>
            <w:right w:type="dxa" w:w="80"/>
          </w:tcMar>
          <w:vAlign w:val="center"/>
        </w:tcPr>
        <w:p>
          <w:r>
            <w:rPr>
              <w:b/>
              <w:bCs/>
              <w:sz w:val="22"/>
              <w:szCs w:val="22"/>
            </w:rPr>
            <w:t xml:space="preserve">[ORGANISATION NAME]</w:t>
          </w:r>
        </w:p>
      </w:tc>
      <w:tc>
        <w:tcPr>
          <w:tcW w:type="dxa" w:w="5160"/>
          <w:tcBorders>
            <w:top w:val="none" w:sz="0"/>
            <w:left w:val="none" w:sz="0"/>
            <w:bottom w:val="single" w:color="000000" w:sz="8"/>
            <w:right w:val="none" w:sz="0"/>
          </w:tcBorders>
          <w:tcMar>
            <w:top w:type="dxa" w:w="60"/>
            <w:left w:type="dxa" w:w="80"/>
            <w:bottom w:type="dxa" w:w="80"/>
            <w:right w:type="dxa" w:w="80"/>
          </w:tcMar>
          <w:vAlign w:val="center"/>
        </w:tcPr>
        <w:p>
          <w:pPr>
            <w:spacing w:after="20"/>
            <w:jc w:val="center"/>
          </w:pPr>
          <w:r>
            <w:rPr>
              <w:b/>
              <w:bCs/>
              <w:sz w:val="20"/>
              <w:szCs w:val="20"/>
            </w:rPr>
            <w:t xml:space="preserve">Training and Competence Matrix</w:t>
          </w:r>
        </w:p>
        <w:p>
          <w:pPr>
            <w:jc w:val="center"/>
          </w:pPr>
          <w:r>
            <w:rPr>
              <w:i/>
              <w:iCs/>
              <w:color w:val="595959"/>
              <w:sz w:val="16"/>
              <w:szCs w:val="16"/>
            </w:rPr>
            <w:t xml:space="preserve">ISO 9001:2015 — Cl. 7.2</w:t>
          </w:r>
        </w:p>
      </w:tc>
      <w:tc>
        <w:tcPr>
          <w:tcW w:type="dxa" w:w="1800"/>
          <w:tcBorders>
            <w:top w:val="none" w:sz="0"/>
            <w:left w:val="none" w:sz="0"/>
            <w:bottom w:val="single" w:color="000000" w:sz="8"/>
            <w:right w:val="none" w:sz="0"/>
          </w:tcBorders>
          <w:tcMar>
            <w:top w:type="dxa" w:w="60"/>
            <w:left w:type="dxa" w:w="80"/>
            <w:bottom w:type="dxa" w:w="80"/>
            <w:right w:type="dxa" w:w="80"/>
          </w:tcMar>
          <w:vAlign w:val="center"/>
        </w:tcPr>
        <w:p>
          <w:pPr>
            <w:jc w:val="right"/>
          </w:pPr>
          <w:r>
            <w:rPr>
              <w:b/>
              <w:bCs/>
              <w:sz w:val="18"/>
              <w:szCs w:val="18"/>
            </w:rPr>
            <w:t xml:space="preserve">QMS-REG-TRN-001</w:t>
          </w:r>
        </w:p>
      </w:tc>
    </w:tr>
  </w:tbl>
  <w:p>
    <w:pPr>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lvl w:ilvl="1" w15:tentative="1">
      <w:start w:val="1"/>
      <w:numFmt w:val="bullet"/>
      <w:lvlText w:val="○"/>
      <w:lvlJc w:val="left"/>
      <w:pPr>
        <w:ind w:left="1080" w:hanging="270"/>
      </w:pPr>
    </w:lvl>
  </w:abstractNum>
  <w:abstractNum w:abstractNumId="3" w15:restartNumberingAfterBreak="0">
    <w:multiLevelType w:val="hybridMultilevel"/>
    <w:lvl w:ilvl="0" w15:tentative="1">
      <w:start w:val="1"/>
      <w:numFmt w:val="decimal"/>
      <w:lvlText w:val="%1."/>
      <w:lvlJc w:val="left"/>
      <w:pPr>
        <w:ind w:left="540" w:hanging="360"/>
      </w:pPr>
    </w:lvl>
    <w:lvl w:ilvl="1" w15:tentative="1">
      <w:start w:val="1"/>
      <w:numFmt w:val="lowerLetter"/>
      <w:lvlText w:val="%2."/>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Calibri" w:cs="Calibri" w:eastAsia="Calibri" w:hAnsi="Calibri"/>
      <w:b/>
      <w:bCs/>
      <w:color w:val="000000"/>
      <w:sz w:val="30"/>
      <w:szCs w:val="30"/>
    </w:rPr>
  </w:style>
  <w:style w:type="paragraph" w:styleId="Heading2">
    <w:name w:val="Heading 2"/>
    <w:basedOn w:val="Normal"/>
    <w:next w:val="Normal"/>
    <w:qFormat/>
    <w:pPr>
      <w:spacing w:after="100" w:before="200"/>
      <w:outlineLvl w:val="1"/>
    </w:pPr>
    <w:rPr>
      <w:rFonts w:ascii="Calibri" w:cs="Calibri" w:eastAsia="Calibri" w:hAnsi="Calibri"/>
      <w:b/>
      <w:bCs/>
      <w:color w:val="000000"/>
      <w:sz w:val="24"/>
      <w:szCs w:val="24"/>
    </w:rPr>
  </w:style>
  <w:style w:type="paragraph" w:styleId="Heading3">
    <w:name w:val="Heading 3"/>
    <w:basedOn w:val="Normal"/>
    <w:next w:val="Normal"/>
    <w:qFormat/>
    <w:pPr>
      <w:spacing w:after="80" w:before="160"/>
      <w:outlineLvl w:val="2"/>
    </w:pPr>
    <w:rPr>
      <w:rFonts w:ascii="Calibri" w:cs="Calibri" w:eastAsia="Calibri" w:hAnsi="Calibri"/>
      <w:b/>
      <w:bCs/>
      <w:color w:val="00000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8" Type="http://schemas.openxmlformats.org/officeDocument/2006/relationships/footer" Target="footer1.xml"/><Relationship Id="rId3" Type="http://schemas.openxmlformats.org/officeDocument/2006/relationships/footnotes" Target="footnote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customXml" Target="../customXml/item1.xml"/><Relationship Id="rId4" Type="http://schemas.openxmlformats.org/officeDocument/2006/relationships/endnotes" Target="endnotes.xml"/><Relationship Id="rId9" Type="http://schemas.openxmlformats.org/officeDocument/2006/relationships/fontTable" Target="fontTable.xml"/><Relationship Id="rId13" Type="http://schemas.openxmlformats.org/officeDocument/2006/relationships/image" Target="media/veridian-brand-logo.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6364ACEF46547A497B4A5415725FE" ma:contentTypeVersion="12" ma:contentTypeDescription="Create a new document." ma:contentTypeScope="" ma:versionID="ab1c4ce4049acbd08511e59f4651f980">
  <xsd:schema xmlns:xsd="http://www.w3.org/2001/XMLSchema" xmlns:xs="http://www.w3.org/2001/XMLSchema" xmlns:p="http://schemas.microsoft.com/office/2006/metadata/properties" xmlns:ns2="4a866069-fdb1-4df2-8c46-d5413dfe9f74" xmlns:ns3="d3771acf-91e9-423a-a822-9232ae7f0a01" targetNamespace="http://schemas.microsoft.com/office/2006/metadata/properties" ma:root="true" ma:fieldsID="1ab1b480d1a19c9e738f994221842227" ns2:_="" ns3:_="">
    <xsd:import namespace="4a866069-fdb1-4df2-8c46-d5413dfe9f74"/>
    <xsd:import namespace="d3771acf-91e9-423a-a822-9232ae7f0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66069-fdb1-4df2-8c46-d5413dfe9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4a9f55f-dce0-4ad3-86af-47d9360111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71acf-91e9-423a-a822-9232ae7f0a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95e18d-3db4-4792-a8ff-b8fb91af6e3b}" ma:internalName="TaxCatchAll" ma:showField="CatchAllData" ma:web="d3771acf-91e9-423a-a822-9232ae7f0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771acf-91e9-423a-a822-9232ae7f0a01" xsi:nil="true"/>
    <lcf76f155ced4ddcb4097134ff3c332f xmlns="4a866069-fdb1-4df2-8c46-d5413dfe9f74">
      <Terms xmlns="http://schemas.microsoft.com/office/infopath/2007/PartnerControls"/>
    </lcf76f155ced4ddcb4097134ff3c332f>
    <Notes xmlns="4a866069-fdb1-4df2-8c46-d5413dfe9f74" xsi:nil="true"/>
  </documentManagement>
</p:properties>
</file>

<file path=customXml/itemProps1.xml><?xml version="1.0" encoding="utf-8"?>
<ds:datastoreItem xmlns:ds="http://schemas.openxmlformats.org/officeDocument/2006/customXml" ds:itemID="{2083B6A1-CA05-4CEA-A595-445583B400E2}"/>
</file>

<file path=customXml/itemProps2.xml><?xml version="1.0" encoding="utf-8"?>
<ds:datastoreItem xmlns:ds="http://schemas.openxmlformats.org/officeDocument/2006/customXml" ds:itemID="{8824205E-1F63-429B-9DA2-8D553614ED5E}"/>
</file>

<file path=customXml/itemProps3.xml><?xml version="1.0" encoding="utf-8"?>
<ds:datastoreItem xmlns:ds="http://schemas.openxmlformats.org/officeDocument/2006/customXml" ds:itemID="{52D0A115-D5F7-4542-81BC-795A1608912B}"/>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2026-05-29T22:54:00Z</dcterms:created>
  <dcterms:modified xsi:type="dcterms:W3CDTF">2026-05-29T22:54:00Z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0x0101008FC6364ACEF46547A497B4A5415725FE</vt:lpwstr>
  </property>
</Properties>
</file>