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body>
    <w:p>
      <w:pPr>
        <w:spacing w:after="240" w:before="0"/>
      </w:pPr>
      <w:r>
        <w:rPr>
          <w:b/>
          <w:bCs/>
          <w:sz w:val="36"/>
          <w:szCs w:val="36"/>
        </w:rPr>
        <w:t xml:space="preserve">Approved Supplier Register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2000"/>
        <w:gridCol w:w="3160"/>
      </w:tblGrid>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Document No.</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QMS-REG-SUP-001</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Standard</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ISO 9001:2015 Cl. 8.4</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Revision</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2.0</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Issue Date</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Review Frequency</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Annual / on performance event</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Owner</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r>
    </w:tbl>
    <w:p>
      <w:pPr>
        <w:pStyle w:val="Heading1"/>
        <w:spacing w:after="160" w:before="280"/>
      </w:pPr>
      <w:r>
        <w:t xml:space="preserve">1. Purpose</w:t>
      </w:r>
    </w:p>
    <w:p>
      <w:pPr>
        <w:spacing w:after="120"/>
      </w:pPr>
      <w:r>
        <w:t xml:space="preserve">This register lists all approved external providers (suppliers and subcontractors) authorised to supply products, materials or services that affect product quality. Only suppliers on this register may be used for Critical and Standard supply. The register supports compliance with Clause 8.4.</w:t>
      </w:r>
    </w:p>
    <w:p>
      <w:pPr>
        <w:pStyle w:val="Heading1"/>
        <w:spacing w:after="160" w:before="280"/>
      </w:pPr>
      <w:r>
        <w:t xml:space="preserve">2. Supplier Register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1300"/>
        <w:gridCol w:w="1300"/>
        <w:gridCol w:w="1100"/>
        <w:gridCol w:w="1100"/>
        <w:gridCol w:w="1100"/>
        <w:gridCol w:w="900"/>
        <w:gridCol w:w="1760"/>
      </w:tblGrid>
      <w:tr>
        <w:tc>
          <w:tcPr>
            <w:tcW w:type="dxa" w:w="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Supplier Name</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Category</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Contact</w:t>
            </w:r>
          </w:p>
        </w:tc>
        <w:tc>
          <w:tcPr>
            <w:tcW w:type="dxa" w:w="11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Last Eval.</w:t>
            </w:r>
          </w:p>
        </w:tc>
        <w:tc>
          <w:tcPr>
            <w:tcW w:type="dxa" w:w="11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Rating</w:t>
            </w:r>
          </w:p>
        </w:tc>
        <w:tc>
          <w:tcPr>
            <w:tcW w:type="dxa" w:w="11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ISO Cert?</w:t>
            </w:r>
          </w:p>
        </w:tc>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Status</w:t>
            </w:r>
          </w:p>
        </w:tc>
        <w:tc>
          <w:tcPr>
            <w:tcW w:type="dxa" w:w="1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Next Review</w:t>
            </w:r>
          </w:p>
        </w:tc>
      </w:tr>
    </w:tbl>
    <w:p>
      <w:pPr>
        <w:pStyle w:val="Heading1"/>
        <w:spacing w:after="160" w:before="280"/>
      </w:pPr>
      <w:r>
        <w:t xml:space="preserve">3. Rating Definitions</w:t>
      </w:r>
    </w:p>
    <w:p>
      <w:pPr>
        <w:pStyle w:val="ListParagraph"/>
        <w:numPr>
          <w:ilvl w:val="0"/>
          <w:numId w:val="2"/>
        </w:numPr>
        <w:spacing w:after="60"/>
      </w:pPr>
      <w:r>
        <w:rPr>
          <w:b/>
          <w:bCs/>
        </w:rPr>
        <w:t xml:space="preserve">A — Preferred: </w:t>
      </w:r>
      <w:r>
        <w:t xml:space="preserve"> Consistent high performance. Continue using; consider for additional scope.</w:t>
      </w:r>
    </w:p>
    <w:p>
      <w:pPr>
        <w:pStyle w:val="ListParagraph"/>
        <w:numPr>
          <w:ilvl w:val="0"/>
          <w:numId w:val="2"/>
        </w:numPr>
        <w:spacing w:after="60"/>
      </w:pPr>
      <w:r>
        <w:rPr>
          <w:b/>
          <w:bCs/>
        </w:rPr>
        <w:t xml:space="preserve">B — Approved: </w:t>
      </w:r>
      <w:r>
        <w:t xml:space="preserve"> Acceptable performance with minor issues resolved. Continue using with routine monitoring.</w:t>
      </w:r>
    </w:p>
    <w:p>
      <w:pPr>
        <w:pStyle w:val="ListParagraph"/>
        <w:numPr>
          <w:ilvl w:val="0"/>
          <w:numId w:val="2"/>
        </w:numPr>
        <w:spacing w:after="60"/>
      </w:pPr>
      <w:r>
        <w:rPr>
          <w:b/>
          <w:bCs/>
        </w:rPr>
        <w:t xml:space="preserve">C — Conditional: </w:t>
      </w:r>
      <w:r>
        <w:t xml:space="preserve"> Performance below target. Formal improvement plan required. Monthly monitoring for 90 days.</w:t>
      </w:r>
    </w:p>
    <w:p>
      <w:pPr>
        <w:pStyle w:val="ListParagraph"/>
        <w:numPr>
          <w:ilvl w:val="0"/>
          <w:numId w:val="2"/>
        </w:numPr>
        <w:spacing w:after="60"/>
      </w:pPr>
      <w:r>
        <w:rPr>
          <w:b/>
          <w:bCs/>
        </w:rPr>
        <w:t xml:space="preserve">D — Suspended: </w:t>
      </w:r>
      <w:r>
        <w:t xml:space="preserve"> No new orders. Existing orders reviewed. Formal notice issued.</w:t>
      </w:r>
    </w:p>
    <w:p>
      <w:pPr>
        <w:pStyle w:val="ListParagraph"/>
        <w:numPr>
          <w:ilvl w:val="0"/>
          <w:numId w:val="2"/>
        </w:numPr>
        <w:spacing w:after="60"/>
      </w:pPr>
      <w:r>
        <w:rPr>
          <w:b/>
          <w:bCs/>
        </w:rPr>
        <w:t xml:space="preserve">Removed: </w:t>
      </w:r>
      <w:r>
        <w:t xml:space="preserve"> Removed from register. Re-application requires full pre-qualification.</w:t>
      </w:r>
    </w:p>
    <w:p>
      <w:pPr>
        <w:pStyle w:val="Heading1"/>
        <w:spacing w:after="160" w:before="280"/>
      </w:pPr>
      <w:r>
        <w:t xml:space="preserve">4. Evaluation Criteria (Cl. 8.4.1)</w:t>
      </w:r>
    </w:p>
    <w:p>
      <w:pPr>
        <w:spacing w:after="120"/>
      </w:pPr>
      <w:r>
        <w:t xml:space="preserve">Suppliers are evaluated at pre-qualification and at ongoing performance reviews against the following criteria: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Criterion</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Assessment Method / Target</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Quality system / certification</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ISO 9001 certification or equivalent evidence of QMS. Provide current certificate annually.</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Delivery performance</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On-time delivery rate — target ≥ 95% for Critical, ≥ 90% for Standard.</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Quality performance</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Incoming nonconformance rate — target &lt; 2% for Critical, &lt; 5% for Standard.</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Financial stability</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Credit check at onboarding; ongoing monitoring of payment behaviour and trading history.</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Technical capability</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Relevant licences, equipment, qualifications and demonstrated experience for the scope of supply.</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Responsiveness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Issue resolution speed; quality of communication; willingness to engage with corrective action.</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Safety record</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For subcontractors: LTIFR within industry norms; WHS management evidence; induction compliance.</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Insurance</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Public liability minimum $10M; workers compensation current; professional indemnity where applicable.</w:t>
            </w:r>
          </w:p>
        </w:tc>
      </w:tr>
    </w:tbl>
    <w:p>
      <w:pPr>
        <w:pStyle w:val="Heading1"/>
        <w:spacing w:after="160" w:before="280"/>
      </w:pPr>
      <w:r>
        <w:t xml:space="preserve">5. Performance Monitoring Cycle</w:t>
      </w:r>
    </w:p>
    <w:p>
      <w:pPr>
        <w:pStyle w:val="ListParagraph"/>
        <w:numPr>
          <w:ilvl w:val="0"/>
          <w:numId w:val="2"/>
        </w:numPr>
        <w:spacing w:after="60"/>
      </w:pPr>
      <w:r>
        <w:rPr>
          <w:b/>
          <w:bCs/>
        </w:rPr>
        <w:t xml:space="preserve">Critical suppliers: </w:t>
      </w:r>
      <w:r>
        <w:t xml:space="preserve"> Evaluated at least annually. Performance reviewed monthly via OTD and quality conformance data.</w:t>
      </w:r>
    </w:p>
    <w:p>
      <w:pPr>
        <w:pStyle w:val="ListParagraph"/>
        <w:numPr>
          <w:ilvl w:val="0"/>
          <w:numId w:val="2"/>
        </w:numPr>
        <w:spacing w:after="60"/>
      </w:pPr>
      <w:r>
        <w:rPr>
          <w:b/>
          <w:bCs/>
        </w:rPr>
        <w:t xml:space="preserve">Standard suppliers: </w:t>
      </w:r>
      <w:r>
        <w:t xml:space="preserve"> Evaluated at least every six months.</w:t>
      </w:r>
    </w:p>
    <w:p>
      <w:pPr>
        <w:pStyle w:val="ListParagraph"/>
        <w:numPr>
          <w:ilvl w:val="0"/>
          <w:numId w:val="2"/>
        </w:numPr>
        <w:spacing w:after="60"/>
      </w:pPr>
      <w:r>
        <w:rPr>
          <w:b/>
          <w:bCs/>
        </w:rPr>
        <w:t xml:space="preserve">Non-critical: </w:t>
      </w:r>
      <w:r>
        <w:t xml:space="preserve"> Reviewed on performance event only.</w:t>
      </w:r>
    </w:p>
    <w:p>
      <w:pPr>
        <w:pStyle w:val="ListParagraph"/>
        <w:numPr>
          <w:ilvl w:val="0"/>
          <w:numId w:val="2"/>
        </w:numPr>
        <w:spacing w:after="60"/>
      </w:pPr>
      <w:r>
        <w:t xml:space="preserve">Performance data feeds into the supplier's rating and into trend reports presented at Management Review.</w:t>
      </w:r>
    </w:p>
    <w:p>
      <w:pPr>
        <w:pStyle w:val="Heading1"/>
        <w:spacing w:after="160" w:before="280"/>
      </w:pPr>
      <w:r>
        <w:t xml:space="preserve">6. Out-of-Conformance Response</w:t>
      </w:r>
    </w:p>
    <w:p>
      <w:pPr>
        <w:pStyle w:val="ListParagraph"/>
        <w:numPr>
          <w:ilvl w:val="0"/>
          <w:numId w:val="2"/>
        </w:numPr>
        <w:spacing w:after="60"/>
      </w:pPr>
      <w:r>
        <w:rPr>
          <w:b/>
          <w:bCs/>
        </w:rPr>
        <w:t xml:space="preserve">Rating C: </w:t>
      </w:r>
      <w:r>
        <w:t xml:space="preserve"> Formal improvement plan issued by Quality Manager. Monthly monitoring for 90 days. Re-evaluation at end of period.</w:t>
      </w:r>
    </w:p>
    <w:p>
      <w:pPr>
        <w:pStyle w:val="ListParagraph"/>
        <w:numPr>
          <w:ilvl w:val="0"/>
          <w:numId w:val="2"/>
        </w:numPr>
        <w:spacing w:after="60"/>
      </w:pPr>
      <w:r>
        <w:rPr>
          <w:b/>
          <w:bCs/>
        </w:rPr>
        <w:t xml:space="preserve">Rating D: </w:t>
      </w:r>
      <w:r>
        <w:t xml:space="preserve"> No new purchase orders. Existing orders assessed for risk. Quality Manager notifies supplier in writing.</w:t>
      </w:r>
    </w:p>
    <w:p>
      <w:pPr>
        <w:pStyle w:val="ListParagraph"/>
        <w:numPr>
          <w:ilvl w:val="0"/>
          <w:numId w:val="2"/>
        </w:numPr>
        <w:spacing w:after="60"/>
      </w:pPr>
      <w:r>
        <w:rPr>
          <w:b/>
          <w:bCs/>
        </w:rPr>
        <w:t xml:space="preserve">Major NC from supplier: </w:t>
      </w:r>
      <w:r>
        <w:t xml:space="preserve"> Triggers a Supplier CAR (QMS-FRM-CAR-001). Supplier required to provide root cause and corrective action within 30 days.</w:t>
      </w:r>
    </w:p>
    <w:p>
      <w:pPr>
        <w:pStyle w:val="ListParagraph"/>
        <w:numPr>
          <w:ilvl w:val="0"/>
          <w:numId w:val="2"/>
        </w:numPr>
        <w:spacing w:after="60"/>
      </w:pPr>
      <w:r>
        <w:rPr>
          <w:b/>
          <w:bCs/>
        </w:rPr>
        <w:t xml:space="preserve">Repeated NC from supplier: </w:t>
      </w:r>
      <w:r>
        <w:t xml:space="preserve"> Triggers rating review and possible suspension regardless of current rating.</w:t>
      </w:r>
    </w:p>
    <w:p>
      <w:pPr>
        <w:pStyle w:val="Heading1"/>
        <w:spacing w:after="160" w:before="280"/>
      </w:pPr>
      <w:r>
        <w:t xml:space="preserve">7. Records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Approved Supplier Register</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Maintained by Quality Manager. Current version accessible to Procurement.</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Pre-qualification records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Filed by Quality Manager. Retained while supplier is active + 3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Performance evaluations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Retained 5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Supplier CARs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Retained 7 years — linked to NCR register.</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Insurance certificates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Updated annually. Retained while supplier is active + 3 years.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Role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Name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Signature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Date</w:t>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Procurement Manager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Managing Director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8F00" w:sz="12"/>
              <w:left w:val="single" w:color="BF8F00" w:sz="12"/>
              <w:bottom w:val="single" w:color="BF8F00" w:sz="4"/>
              <w:right w:val="single" w:color="BF8F00" w:sz="12"/>
            </w:tcBorders>
            <w:shd w:fill="BF8F00" w:val="clear"/>
            <w:tcMar>
              <w:top w:type="dxa" w:w="120"/>
              <w:left w:type="dxa" w:w="200"/>
              <w:bottom w:type="dxa" w:w="120"/>
              <w:right w:type="dxa" w:w="200"/>
            </w:tcMar>
          </w:tcPr>
          <w:p>
            <w:r>
              <w:rPr>
                <w:b/>
                <w:bCs/>
                <w:color w:val="FFFFFF"/>
                <w:sz w:val="22"/>
                <w:szCs w:val="22"/>
              </w:rPr>
              <w:t xml:space="preserve">✎  HOW TO COMPLETE THIS DOCUMENT  —  DELETE THIS SECTION BEFORE PUBLISHING</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i/>
                <w:iCs/>
                <w:color w:val="806000"/>
                <w:sz w:val="20"/>
                <w:szCs w:val="20"/>
              </w:rPr>
              <w:t xml:space="preserve">Use these notes to tailor, complete and finalise this document before publication. Delete this section once done.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1. Identify all current suppliers</w:t>
            </w:r>
          </w:p>
          <w:p>
            <w:r>
              <w:rPr>
                <w:color w:val="806000"/>
                <w:sz w:val="20"/>
                <w:szCs w:val="20"/>
              </w:rPr>
              <w:t xml:space="preserve">Pull a list of all suppliers used in the past 12 months from accounts payable. Categorise each as Critical, Standard or Non-critical.</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2. Populate Critical and Standard suppliers in the register</w:t>
            </w:r>
          </w:p>
          <w:p>
            <w:r>
              <w:rPr>
                <w:color w:val="806000"/>
                <w:sz w:val="20"/>
                <w:szCs w:val="20"/>
              </w:rPr>
              <w:t xml:space="preserve">Every Critical or Standard supplier currently in use must be in this register. If they're not pre-qualified, schedule pre-qualification or stop using them.</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3. Collect current ISO certificates and insurances</w:t>
            </w:r>
          </w:p>
          <w:p>
            <w:r>
              <w:rPr>
                <w:color w:val="806000"/>
                <w:sz w:val="20"/>
                <w:szCs w:val="20"/>
              </w:rPr>
              <w:t xml:space="preserve">Request from each supplier. Set a calendar reminder for expiry dates.</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4. Set initial ratings honestly</w:t>
            </w:r>
          </w:p>
          <w:p>
            <w:r>
              <w:rPr>
                <w:color w:val="806000"/>
                <w:sz w:val="20"/>
                <w:szCs w:val="20"/>
              </w:rPr>
              <w:t xml:space="preserve">Don't default everything to 'A — Preferred'. Use actual performance data from the past 12 months.</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5. Run a pre-qualification gap analysis</w:t>
            </w:r>
          </w:p>
          <w:p>
            <w:r>
              <w:rPr>
                <w:color w:val="806000"/>
                <w:sz w:val="20"/>
                <w:szCs w:val="20"/>
              </w:rPr>
              <w:t xml:space="preserve">Any supplier without complete pre-qualification evidence either needs to be qualified urgently or stopped. Don't leave undocumented suppliers in the register.</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6. Schedule the next review date for each supplier</w:t>
            </w:r>
          </w:p>
          <w:p>
            <w:r>
              <w:rPr>
                <w:color w:val="806000"/>
                <w:sz w:val="20"/>
                <w:szCs w:val="20"/>
              </w:rPr>
              <w:t xml:space="preserve">Critical suppliers: 12 months. Standard suppliers: 6 months. Diarise so they don't slip.</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7. Set up incoming inspection capture</w:t>
            </w:r>
          </w:p>
          <w:p>
            <w:r>
              <w:rPr>
                <w:color w:val="806000"/>
                <w:sz w:val="20"/>
                <w:szCs w:val="20"/>
              </w:rPr>
              <w:t xml:space="preserve">Confirm with the QA Inspector that incoming inspection data feeds back to this register for performance scoring.</w:t>
            </w:r>
          </w:p>
        </w:tc>
      </w:tr>
      <w:tr>
        <w:tc>
          <w:tcPr>
            <w:tcW w:type="dxa" w:w="9360"/>
            <w:tcBorders>
              <w:top w:val="none"/>
              <w:left w:val="single" w:color="BF8F00" w:sz="12"/>
              <w:bottom w:val="single" w:color="BF8F00" w:sz="12"/>
              <w:right w:val="single" w:color="BF8F00" w:sz="12"/>
            </w:tcBorders>
            <w:shd w:fill="FFF2CC" w:val="clear"/>
            <w:tcMar>
              <w:top w:type="dxa" w:w="120"/>
              <w:left w:type="dxa" w:w="200"/>
              <w:bottom w:type="dxa" w:w="120"/>
              <w:right w:type="dxa" w:w="200"/>
            </w:tcMar>
          </w:tcPr>
          <w:p>
            <w:r>
              <w:rPr>
                <w:b/>
                <w:bCs/>
                <w:color w:val="806000"/>
                <w:sz w:val="20"/>
                <w:szCs w:val="20"/>
              </w:rPr>
              <w:t xml:space="preserve">8. DELETE this guidance section before publishing</w:t>
            </w:r>
          </w:p>
          <w:p>
            <w:r>
              <w:rPr>
                <w:color w:val="806000"/>
                <w:sz w:val="20"/>
                <w:szCs w:val="20"/>
              </w:rPr>
              <w:t xml:space="preserve">Select the entire yellow-bordered block and delete.</w:t>
            </w:r>
          </w:p>
        </w:tc>
      </w:tr>
    </w:tbl>
    <w:p>
      <w:pPr>
        <w:spacing w:after="120"/>
      </w:pPr>
      <w:r>
        <w:t xml:space="preserve">QMS-REG-SUP-001  •  Rev 2.0	CONTROLLED DOCUMENT — verify currency before use	Page  of</w:t>
      </w:r>
    </w:p>
    <w:sectPr>
      <w:headerReference w:type="default" r:id="rId7"/>
      <w:footerReference w:type="default" r:id="rId8"/>
      <w:pgSz w:w="11906" w:h="16838"/>
      <w:pgMar w:top="170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p>
    <w:pPr>
      <w:pBdr>
        <w:top w:val="single" w:color="BFBFBF" w:sz="4" w:space="4"/>
      </w:pBdr>
      <w:tabs>
        <w:tab w:val="center" w:pos="4680"/>
        <w:tab w:val="right" w:pos="9360"/>
      </w:tabs>
    </w:pPr>
    <w:r>
      <w:rPr>
        <w:color w:val="595959"/>
        <w:sz w:val="16"/>
        <w:szCs w:val="16"/>
      </w:rPr>
      <w:t xml:space="preserve">QMS-REG-SUP-001  •  Rev 2.0</w:t>
    </w:r>
    <w:r>
      <w:rPr>
        <w:sz w:val="16"/>
        <w:szCs w:val="16"/>
      </w:rPr>
      <w:t>	</w:t>
    </w:r>
    <w:r>
      <w:rPr>
        <w:i/>
        <w:iCs/>
        <w:color w:val="595959"/>
        <w:sz w:val="16"/>
        <w:szCs w:val="16"/>
      </w:rPr>
      <w:t xml:space="preserve">CONTROLLED DOCUMENT — verify currency before use</w:t>
    </w:r>
    <w:r>
      <w:rPr>
        <w:sz w:val="16"/>
        <w:szCs w:val="16"/>
      </w:rPr>
      <w:t>	</w:t>
    </w: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tbl>
    <w:tblPr>
      <w:tblW w:type="dxa" w:w="9360"/>
      <w:tblBorders>
        <w:top w:val="none" w:sz="0"/>
        <w:left w:val="none" w:sz="0"/>
        <w:bottom w:val="single" w:color="000000" w:sz="8"/>
        <w:right w:val="none" w:sz="0"/>
        <w:insideH w:val="none" w:sz="0"/>
        <w:insideV w:val="none" w:sz="0"/>
      </w:tblBorders>
    </w:tblPr>
    <w:tblGrid>
      <w:gridCol w:w="2400"/>
      <w:gridCol w:w="5160"/>
      <w:gridCol w:w="1800"/>
    </w:tblGrid>
    <w:tr>
      <w:tc>
        <w:tcPr>
          <w:tcW w:type="dxa" w:w="2400"/>
          <w:tcBorders>
            <w:top w:val="none" w:sz="0"/>
            <w:left w:val="none" w:sz="0"/>
            <w:bottom w:val="single" w:color="000000" w:sz="8"/>
            <w:right w:val="none" w:sz="0"/>
          </w:tcBorders>
          <w:tcMar>
            <w:top w:type="dxa" w:w="60"/>
            <w:left w:type="dxa" w:w="80"/>
            <w:bottom w:type="dxa" w:w="80"/>
            <w:right w:type="dxa" w:w="80"/>
          </w:tcMar>
          <w:vAlign w:val="center"/>
        </w:tcPr>
        <w:p>
          <w:r>
            <w:rPr>
              <w:b/>
              <w:bCs/>
              <w:sz w:val="22"/>
              <w:szCs w:val="22"/>
            </w:rPr>
            <w:t xml:space="preserve">[ORGANISATION NAME]</w:t>
          </w:r>
        </w:p>
      </w:tc>
      <w:tc>
        <w:tcPr>
          <w:tcW w:type="dxa" w:w="5160"/>
          <w:tcBorders>
            <w:top w:val="none" w:sz="0"/>
            <w:left w:val="none" w:sz="0"/>
            <w:bottom w:val="single" w:color="000000" w:sz="8"/>
            <w:right w:val="none" w:sz="0"/>
          </w:tcBorders>
          <w:tcMar>
            <w:top w:type="dxa" w:w="60"/>
            <w:left w:type="dxa" w:w="80"/>
            <w:bottom w:type="dxa" w:w="80"/>
            <w:right w:type="dxa" w:w="80"/>
          </w:tcMar>
          <w:vAlign w:val="center"/>
        </w:tcPr>
        <w:p>
          <w:pPr>
            <w:spacing w:after="20"/>
            <w:jc w:val="center"/>
          </w:pPr>
          <w:r>
            <w:rPr>
              <w:b/>
              <w:bCs/>
              <w:sz w:val="20"/>
              <w:szCs w:val="20"/>
            </w:rPr>
            <w:t xml:space="preserve">Approved Supplier Register</w:t>
          </w:r>
        </w:p>
        <w:p>
          <w:pPr>
            <w:jc w:val="center"/>
          </w:pPr>
          <w:r>
            <w:rPr>
              <w:i/>
              <w:iCs/>
              <w:color w:val="595959"/>
              <w:sz w:val="16"/>
              <w:szCs w:val="16"/>
            </w:rPr>
            <w:t xml:space="preserve">ISO 9001:2015 — Cl. 8.4</w:t>
          </w:r>
        </w:p>
      </w:tc>
      <w:tc>
        <w:tcPr>
          <w:tcW w:type="dxa" w:w="1800"/>
          <w:tcBorders>
            <w:top w:val="none" w:sz="0"/>
            <w:left w:val="none" w:sz="0"/>
            <w:bottom w:val="single" w:color="000000" w:sz="8"/>
            <w:right w:val="none" w:sz="0"/>
          </w:tcBorders>
          <w:tcMar>
            <w:top w:type="dxa" w:w="60"/>
            <w:left w:type="dxa" w:w="80"/>
            <w:bottom w:type="dxa" w:w="80"/>
            <w:right w:type="dxa" w:w="80"/>
          </w:tcMar>
          <w:vAlign w:val="center"/>
        </w:tcPr>
        <w:p>
          <w:pPr>
            <w:jc w:val="right"/>
          </w:pPr>
          <w:r>
            <w:rPr>
              <w:b/>
              <w:bCs/>
              <w:sz w:val="18"/>
              <w:szCs w:val="18"/>
            </w:rPr>
            <w:t xml:space="preserve">QMS-REG-SUP-001</w:t>
          </w:r>
        </w:p>
      </w:tc>
    </w:tr>
  </w:tbl>
  <w:p>
    <w:pPr>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lvl w:ilvl="1" w15:tentative="1">
      <w:start w:val="1"/>
      <w:numFmt w:val="bullet"/>
      <w:lvlText w:val="○"/>
      <w:lvlJc w:val="left"/>
      <w:pPr>
        <w:ind w:left="1080" w:hanging="270"/>
      </w:pPr>
    </w:lvl>
  </w:abstractNum>
  <w:abstractNum w:abstractNumId="3" w15:restartNumberingAfterBreak="0">
    <w:multiLevelType w:val="hybridMultilevel"/>
    <w:lvl w:ilvl="0" w15:tentative="1">
      <w:start w:val="1"/>
      <w:numFmt w:val="decimal"/>
      <w:lvlText w:val="%1."/>
      <w:lvlJc w:val="left"/>
      <w:pPr>
        <w:ind w:left="540" w:hanging="360"/>
      </w:pPr>
    </w:lvl>
    <w:lvl w:ilvl="1" w15:tentative="1">
      <w:start w:val="1"/>
      <w:numFmt w:val="lowerLetter"/>
      <w:lvlText w:val="%2."/>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Calibri" w:cs="Calibri" w:eastAsia="Calibri" w:hAnsi="Calibri"/>
      <w:b/>
      <w:bCs/>
      <w:color w:val="000000"/>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000000"/>
      <w:sz w:val="24"/>
      <w:szCs w:val="24"/>
    </w:rPr>
  </w:style>
  <w:style w:type="paragraph" w:styleId="Heading3">
    <w:name w:val="Heading 3"/>
    <w:basedOn w:val="Normal"/>
    <w:next w:val="Normal"/>
    <w:qFormat/>
    <w:pPr>
      <w:spacing w:after="80" w:before="160"/>
      <w:outlineLvl w:val="2"/>
    </w:pPr>
    <w:rPr>
      <w:rFonts w:ascii="Calibri" w:cs="Calibri" w:eastAsia="Calibri" w:hAnsi="Calibri"/>
      <w:b/>
      <w:bCs/>
      <w:color w:val="00000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8" Type="http://schemas.openxmlformats.org/officeDocument/2006/relationships/footer" Target="footer1.xml"/><Relationship Id="rId3" Type="http://schemas.openxmlformats.org/officeDocument/2006/relationships/footnotes" Target="footnote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customXml" Target="../customXml/item1.xml"/><Relationship Id="rId4" Type="http://schemas.openxmlformats.org/officeDocument/2006/relationships/endnotes" Target="endnotes.xml"/><Relationship Id="rId9" Type="http://schemas.openxmlformats.org/officeDocument/2006/relationships/fontTable" Target="fontTable.xml"/><Relationship Id="rId13" Type="http://schemas.openxmlformats.org/officeDocument/2006/relationships/image" Target="media/veridian-brand-logo.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6364ACEF46547A497B4A5415725FE" ma:contentTypeVersion="12" ma:contentTypeDescription="Create a new document." ma:contentTypeScope="" ma:versionID="ab1c4ce4049acbd08511e59f4651f980">
  <xsd:schema xmlns:xsd="http://www.w3.org/2001/XMLSchema" xmlns:xs="http://www.w3.org/2001/XMLSchema" xmlns:p="http://schemas.microsoft.com/office/2006/metadata/properties" xmlns:ns2="4a866069-fdb1-4df2-8c46-d5413dfe9f74" xmlns:ns3="d3771acf-91e9-423a-a822-9232ae7f0a01" targetNamespace="http://schemas.microsoft.com/office/2006/metadata/properties" ma:root="true" ma:fieldsID="1ab1b480d1a19c9e738f994221842227" ns2:_="" ns3:_="">
    <xsd:import namespace="4a866069-fdb1-4df2-8c46-d5413dfe9f74"/>
    <xsd:import namespace="d3771acf-91e9-423a-a822-9232ae7f0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66069-fdb1-4df2-8c46-d5413dfe9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a9f55f-dce0-4ad3-86af-47d9360111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71acf-91e9-423a-a822-9232ae7f0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95e18d-3db4-4792-a8ff-b8fb91af6e3b}" ma:internalName="TaxCatchAll" ma:showField="CatchAllData" ma:web="d3771acf-91e9-423a-a822-9232ae7f0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71acf-91e9-423a-a822-9232ae7f0a01" xsi:nil="true"/>
    <lcf76f155ced4ddcb4097134ff3c332f xmlns="4a866069-fdb1-4df2-8c46-d5413dfe9f74">
      <Terms xmlns="http://schemas.microsoft.com/office/infopath/2007/PartnerControls"/>
    </lcf76f155ced4ddcb4097134ff3c332f>
    <Notes xmlns="4a866069-fdb1-4df2-8c46-d5413dfe9f74" xsi:nil="true"/>
  </documentManagement>
</p:properties>
</file>

<file path=customXml/itemProps1.xml><?xml version="1.0" encoding="utf-8"?>
<ds:datastoreItem xmlns:ds="http://schemas.openxmlformats.org/officeDocument/2006/customXml" ds:itemID="{2083B6A1-CA05-4CEA-A595-445583B400E2}"/>
</file>

<file path=customXml/itemProps2.xml><?xml version="1.0" encoding="utf-8"?>
<ds:datastoreItem xmlns:ds="http://schemas.openxmlformats.org/officeDocument/2006/customXml" ds:itemID="{8824205E-1F63-429B-9DA2-8D553614ED5E}"/>
</file>

<file path=customXml/itemProps3.xml><?xml version="1.0" encoding="utf-8"?>
<ds:datastoreItem xmlns:ds="http://schemas.openxmlformats.org/officeDocument/2006/customXml" ds:itemID="{52D0A115-D5F7-4542-81BC-795A1608912B}"/>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2026-05-29T22:54:00Z</dcterms:created>
  <dcterms:modified xsi:type="dcterms:W3CDTF">2026-05-29T22:54:00Z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0x0101008FC6364ACEF46547A497B4A5415725FE</vt:lpwstr>
  </property>
</Properties>
</file>