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Legal and Compliance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QMS-REG-LEG-001</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6.1.3</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 / on legislative change</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This register identifies all legislation, regulations, applicable standards, codes of practice and other compliance obligations relevant to the organisation's products, services and the Quality Management System. It documents how each obligation is addressed and provides the basis for periodic compliance evaluation under Clause 9.1.3.</w:t>
      </w:r>
    </w:p>
    <w:p>
      <w:pPr>
        <w:pStyle w:val="Heading1"/>
        <w:spacing w:after="160" w:before="280"/>
      </w:pPr>
      <w:r>
        <w:t xml:space="preserve">2. Scope of Identification</w:t>
      </w:r>
    </w:p>
    <w:p>
      <w:pPr>
        <w:spacing w:after="120"/>
      </w:pPr>
      <w:r>
        <w:t xml:space="preserve">The register covers obligations arising from:</w:t>
      </w:r>
    </w:p>
    <w:p>
      <w:pPr>
        <w:pStyle w:val="ListParagraph"/>
        <w:numPr>
          <w:ilvl w:val="0"/>
          <w:numId w:val="2"/>
        </w:numPr>
        <w:spacing w:after="60"/>
      </w:pPr>
      <w:r>
        <w:t xml:space="preserve">Commonwealth and State legislation that applies to the organisation's commercial activities and products.</w:t>
      </w:r>
    </w:p>
    <w:p>
      <w:pPr>
        <w:pStyle w:val="ListParagraph"/>
        <w:numPr>
          <w:ilvl w:val="0"/>
          <w:numId w:val="2"/>
        </w:numPr>
        <w:spacing w:after="60"/>
      </w:pPr>
      <w:r>
        <w:t xml:space="preserve">Industry codes of practice that [Organisation Name] has elected to follow or that customers require.</w:t>
      </w:r>
    </w:p>
    <w:p>
      <w:pPr>
        <w:pStyle w:val="ListParagraph"/>
        <w:numPr>
          <w:ilvl w:val="0"/>
          <w:numId w:val="2"/>
        </w:numPr>
        <w:spacing w:after="60"/>
      </w:pPr>
      <w:r>
        <w:t xml:space="preserve">Applicable Australian Standards and international standards incorporated by reference into legislation, codes or contracts.</w:t>
      </w:r>
    </w:p>
    <w:p>
      <w:pPr>
        <w:pStyle w:val="ListParagraph"/>
        <w:numPr>
          <w:ilvl w:val="0"/>
          <w:numId w:val="2"/>
        </w:numPr>
        <w:spacing w:after="60"/>
      </w:pPr>
      <w:r>
        <w:t xml:space="preserve">Customer contracts, prequalifications and tender conditions that impose specific compliance obligations.</w:t>
      </w:r>
    </w:p>
    <w:p>
      <w:pPr>
        <w:pStyle w:val="ListParagraph"/>
        <w:numPr>
          <w:ilvl w:val="0"/>
          <w:numId w:val="2"/>
        </w:numPr>
        <w:spacing w:after="60"/>
      </w:pPr>
      <w:r>
        <w:t xml:space="preserve">Certification body requirements (ISO 9001:2015, JAS-ANZ scheme rules).</w:t>
      </w:r>
    </w:p>
    <w:p>
      <w:pPr>
        <w:pStyle w:val="Heading1"/>
        <w:spacing w:after="160" w:before="280"/>
      </w:pPr>
      <w:r>
        <w:t xml:space="preserve">3. Compliance Obligations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1800"/>
        <w:gridCol w:w="1800"/>
        <w:gridCol w:w="1800"/>
        <w:gridCol w:w="1800"/>
        <w:gridCol w:w="1160"/>
      </w:tblGrid>
      <w:tr>
        <w:trPr>
          <w:tblHeader/>
        </w:trPr>
        <w:tc>
          <w:tcPr>
            <w:tcW w:type="dxa" w:w="1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Legislation / Requirement</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Jurisdiction</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Key Obligations</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How Addressed</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Comply?</w:t>
            </w:r>
          </w:p>
        </w:tc>
        <w:tc>
          <w:tcPr>
            <w:tcW w:type="dxa" w:w="11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Last Review</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Australian Consumer Law (Schedule 2, Competition and Consumer Act 2010)</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Product safety; consumer guarantees; misleading and deceptive conduct; supplier guarantees.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Contract review (QMS-PRO-001); product release (QMS-PRO-005); customer information.</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 Measurement Act 1960 / Trade Measurement Act 2009</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Accuracy of measuring instruments used in trade; verification and pattern approval.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Calibration Register (QMS-REG-CAL-001); QMS-PRO-006 Calibration; NATA-traceable calibration.</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Applicable AS/NZS Standards (e.g. AS/NZS 1554 Welding, AS/NZS ISO 3834 Welding QA)</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Industry-specific product, process and inspection requirements.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ITPs; quality procedures; inspection records; welder qualifications.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 Construction Code (NCC) / Building Code of Australia</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Compliance of constructed products and components to NCC performance requirements.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Design review; inspection sign-off (QMS-PRO-005); evidence of suitability.</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Work Health and Safety Act 2011 (and State equivalents)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 / State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Safe work; consultation; risk management — affects quality where personnel safety underpins consistent performance.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WHS Management System; supplier safety requirements; induction.</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Privacy Act 1988 (where customer data is collected)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Protection of personal information collected during commercial dealings.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data handling controls; access controls; records retention.</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[Add applicable State licensing legislation]</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[State]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[Key obligation]</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[How met]</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[Yes/No]</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[Add applicable standard for products]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[National]</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[Key requirement]</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[How met]</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[Yes/No]</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bl>
    <w:p>
      <w:pPr>
        <w:pStyle w:val="Heading1"/>
        <w:spacing w:after="160" w:before="280"/>
      </w:pPr>
      <w:r>
        <w:t xml:space="preserve">4. Maintenance and Updates</w:t>
      </w:r>
    </w:p>
    <w:p>
      <w:pPr>
        <w:pStyle w:val="ListParagraph"/>
        <w:numPr>
          <w:ilvl w:val="0"/>
          <w:numId w:val="2"/>
        </w:numPr>
        <w:spacing w:after="60"/>
      </w:pPr>
      <w:r>
        <w:t xml:space="preserve">The Quality Manager reviews this register at least annually.</w:t>
      </w:r>
    </w:p>
    <w:p>
      <w:pPr>
        <w:pStyle w:val="ListParagraph"/>
        <w:numPr>
          <w:ilvl w:val="0"/>
          <w:numId w:val="2"/>
        </w:numPr>
        <w:spacing w:after="60"/>
      </w:pPr>
      <w:r>
        <w:t xml:space="preserve">Subscriptions to regulator alerts, standards body notifications and industry bulletins are maintained to detect changes.</w:t>
      </w:r>
    </w:p>
    <w:p>
      <w:pPr>
        <w:pStyle w:val="ListParagraph"/>
        <w:numPr>
          <w:ilvl w:val="0"/>
          <w:numId w:val="2"/>
        </w:numPr>
        <w:spacing w:after="60"/>
      </w:pPr>
      <w:r>
        <w:t xml:space="preserve">On notification of a legislative or standards change, the Quality Manager assesses the change within 30 days, updates the register, and raises a CAR (QMS-FRM-CAR-001) if a control change is required.</w:t>
      </w:r>
    </w:p>
    <w:p>
      <w:pPr>
        <w:pStyle w:val="ListParagraph"/>
        <w:numPr>
          <w:ilvl w:val="0"/>
          <w:numId w:val="2"/>
        </w:numPr>
        <w:spacing w:after="60"/>
      </w:pPr>
      <w:r>
        <w:t xml:space="preserve">Customer contracts are reviewed at award and again at any contract variation to capture new compliance obligations.</w:t>
      </w:r>
    </w:p>
    <w:p>
      <w:pPr>
        <w:pStyle w:val="Heading1"/>
        <w:spacing w:after="160" w:before="280"/>
      </w:pPr>
      <w:r>
        <w:t xml:space="preserve">5. Evaluation of Compliance (Cl. 9.1.3)</w:t>
      </w:r>
    </w:p>
    <w:p>
      <w:pPr>
        <w:spacing w:after="120"/>
      </w:pPr>
      <w:r>
        <w:t xml:space="preserve">At least annually, the Quality Manager evaluates the organisation's compliance against each obligation in this register. Evaluation methods include:</w:t>
      </w:r>
    </w:p>
    <w:p>
      <w:pPr>
        <w:pStyle w:val="ListParagraph"/>
        <w:numPr>
          <w:ilvl w:val="0"/>
          <w:numId w:val="2"/>
        </w:numPr>
        <w:spacing w:after="60"/>
      </w:pPr>
      <w:r>
        <w:t xml:space="preserve">Review of compliance evidence (records, certificates, audit results).</w:t>
      </w:r>
    </w:p>
    <w:p>
      <w:pPr>
        <w:pStyle w:val="ListParagraph"/>
        <w:numPr>
          <w:ilvl w:val="0"/>
          <w:numId w:val="2"/>
        </w:numPr>
        <w:spacing w:after="60"/>
      </w:pPr>
      <w:r>
        <w:t xml:space="preserve">Targeted internal audit against the obligation.</w:t>
      </w:r>
    </w:p>
    <w:p>
      <w:pPr>
        <w:pStyle w:val="ListParagraph"/>
        <w:numPr>
          <w:ilvl w:val="0"/>
          <w:numId w:val="2"/>
        </w:numPr>
        <w:spacing w:after="60"/>
      </w:pPr>
      <w:r>
        <w:t xml:space="preserve">Self-assessment questionnaires for areas with delegated responsibility.</w:t>
      </w:r>
    </w:p>
    <w:p>
      <w:pPr>
        <w:pStyle w:val="ListParagraph"/>
        <w:numPr>
          <w:ilvl w:val="0"/>
          <w:numId w:val="2"/>
        </w:numPr>
        <w:spacing w:after="60"/>
      </w:pPr>
      <w:r>
        <w:t xml:space="preserve">Review of regulator findings, customer audit findings, and certification audit reports.</w:t>
      </w:r>
    </w:p>
    <w:p>
      <w:pPr>
        <w:spacing w:after="120"/>
      </w:pPr>
      <w:r>
        <w:t xml:space="preserve">Where a non-compliance is identified, a CAR (QMS-FRM-CAR-001) is raised. The Quality Manager assesses the regulatory and contractual consequences and notifies the Managing Director.</w:t>
      </w:r>
    </w:p>
    <w:p>
      <w:pPr>
        <w:pStyle w:val="Heading1"/>
        <w:spacing w:after="160" w:before="280"/>
      </w:pPr>
      <w:r>
        <w:t xml:space="preserve">6.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Compliance register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Current version maintained as a controlled document.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Historical reviews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Previous evaluations retained for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Notifications and alerts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Regulator notifications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Non-compliance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Where identified, linked to CAR records and retained 7 years.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Add State-specific licensing legislation</w:t>
            </w:r>
          </w:p>
          <w:p>
            <w:r>
              <w:rPr>
                <w:color w:val="806000"/>
                <w:sz w:val="20"/>
                <w:szCs w:val="20"/>
              </w:rPr>
              <w:t xml:space="preserve">Examples: NSW Building and Construction Industry Long Service Payments Act, QBCC licensing in Queensland, VBA registration in Victoria. Identify which apply to your operating States.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Add product-specific standards</w:t>
            </w:r>
          </w:p>
          <w:p>
            <w:r>
              <w:rPr>
                <w:color w:val="806000"/>
                <w:sz w:val="20"/>
                <w:szCs w:val="20"/>
              </w:rPr>
              <w:t xml:space="preserve">Examples for steel fabrication: AS/NZS 5131 Structural Steelwork, AS 4458 Pressure equipment manufacture, AS 1796 Welder qualification. Customer contracts may also reference specific standards.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Get legal advice for material obligations</w:t>
            </w:r>
          </w:p>
          <w:p>
            <w:r>
              <w:rPr>
                <w:color w:val="806000"/>
                <w:sz w:val="20"/>
                <w:szCs w:val="20"/>
              </w:rPr>
              <w:t xml:space="preserve">Australian Consumer Law obligations have significant penalties. WHS Act has personal liability for officers. Get legal advice if you're not sure about your obligations.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Set up regulator subscriptions</w:t>
            </w:r>
          </w:p>
          <w:p>
            <w:r>
              <w:rPr>
                <w:color w:val="806000"/>
                <w:sz w:val="20"/>
                <w:szCs w:val="20"/>
              </w:rPr>
              <w:t xml:space="preserve">Subscribe to: Safe Work Australia, Standards Australia alerts, your industry association bulletins, your State WHS regulator newsletter, and the ACCC media releases.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Replace [Date] placeholders with real review dates</w:t>
            </w:r>
          </w:p>
          <w:p>
            <w:r>
              <w:rPr>
                <w:color w:val="806000"/>
                <w:sz w:val="20"/>
                <w:szCs w:val="20"/>
              </w:rPr>
              <w:t xml:space="preserve">Every row needs a last-review date so auditors can see compliance is current.</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Confirm</w:t>
            </w:r>
          </w:p>
          <w:p>
            <w:r>
              <w:rPr>
                <w:color w:val="806000"/>
                <w:sz w:val="20"/>
                <w:szCs w:val="20"/>
              </w:rPr>
              <w:t xml:space="preserve">**'****How Addressed****'**** columns reference real documents** If a row says it's addressed by QMS-PRO-001, confirm that procedure actually covers the obligation in question.</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Schedule the annual compliance evaluation</w:t>
            </w:r>
          </w:p>
          <w:p>
            <w:r>
              <w:rPr>
                <w:color w:val="806000"/>
                <w:sz w:val="20"/>
                <w:szCs w:val="20"/>
              </w:rPr>
              <w:t xml:space="preserve">Diarise the evaluation at least 30 days before next Management Review so results can be presented.</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8. DELETE this guidance section before publishing</w:t>
            </w:r>
          </w:p>
          <w:p>
            <w:r>
              <w:rPr>
                <w:color w:val="806000"/>
                <w:sz w:val="20"/>
                <w:szCs w:val="20"/>
              </w:rPr>
              <w:t xml:space="preserve">Select the entire yellow-bordered block and delete.</w:t>
            </w:r>
          </w:p>
        </w:tc>
      </w:tr>
    </w:tbl>
    <w:p>
      <w:pPr>
        <w:spacing w:after="120"/>
      </w:pPr>
      <w:r>
        <w:t xml:space="preserve">QMS-REG-LEG-001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QMS-REG-LEG-001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Legal and Compliance Register</w:t>
          </w:r>
        </w:p>
        <w:p>
          <w:pPr>
            <w:jc w:val="center"/>
          </w:pPr>
          <w:r>
            <w:rPr>
              <w:i/>
              <w:iCs/>
              <w:color w:val="595959"/>
              <w:sz w:val="16"/>
              <w:szCs w:val="16"/>
            </w:rPr>
            <w:t xml:space="preserve">ISO 9001:2015 — Cl. 6.1.3</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QMS-REG-LEG-001</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