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Interested Parties Register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QMS-REG-INT-001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4.2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2.0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This register identifies the parties that are relevant to the Quality Management System, captures their needs and expectations insofar as those are relevant to quality, and documents how [Organisation Name] addresses each. The register supports compliance with Clause 4.2 of ISO 9001:2015 and feeds into context analysis (Cl. 4.1), risk and opportunity planning (Cl. 6.1) and management review (Cl. 9.3).</w:t>
      </w:r>
    </w:p>
    <w:p>
      <w:pPr>
        <w:pStyle w:val="Heading1"/>
        <w:spacing w:after="160" w:before="280"/>
      </w:pPr>
      <w:r>
        <w:t xml:space="preserve">2. How This Register Is Maintained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Quality Manager owns this register and reviews it at least annually.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Changes triggered by significant events (new contracts, regulator changes, complaints, mergers, restructures) are made at the time and reported at the next Management Review.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a party's expectations cannot be met, the gap is recorded in the Context and Risk Register (QMS-REG-CTX-001) and managed as a risk.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Outputs from this register inform the Quality Objectives Register (QMS-REG-OBJ-001), audit programme scoping, and stakeholder communication plans.</w:t>
      </w:r>
    </w:p>
    <w:p>
      <w:pPr>
        <w:pStyle w:val="Heading1"/>
        <w:spacing w:after="160" w:before="280"/>
      </w:pPr>
      <w:r>
        <w:t xml:space="preserve">3. Interested Parties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Interested Party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Needs and Expectations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Relevant Clause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How Addressed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Customers / Clients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Conforming products and services; on-time delivery; clear communication on nonconformance; responsive complaint handling; honoured warranties.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4.2, 8.2, 9.1.2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QMS-PRO-001 Contract Review; QMS-PRO-002 Complaints; customer satisfaction surveys; NCR/CAR process.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Employees / Workers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Safe working conditions; fair treatment; clear expectations; relevant training and development; access to procedures; consultation on changes.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4.2, 7.1.4, 7.2, 7.3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Training matrix (QMS-REG-TRN-001); HR policies; induction; consultation forums; awareness programme.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Regulatory Authorities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Compliance with statutory and regulatory requirements; cooperation with inspections; prompt notification of regulated events.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4.2, 6.1.3, 9.1.3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Legal register (QMS-REG-LEG-001); compliance evaluation; audit programme; regulator engagement protocols.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Suppliers / Subcontractors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Clear specifications and requirements; fair evaluation; prompt payment; respectful working relationships; reasonable notice of change.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4.2, 8.4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QMS-PRO-004 Supplier Evaluation; Approved Supplier Register (QMS-REG-SUP-001); supplier feedback channels.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Certification Body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Conformance to the ISO standard; access for surveillance and recertification audits; transparent management of nonconformities.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4.2, 9.2, 9.3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Internal audit programme; management review; controlled documentation; certification body liaison.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Owners / Shareholders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Profitable, sustainable, legally compliant business operations; sound risk management; strategic alignment of the QMS.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4.2, 5.1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Management review (QMS-FRM-MGR-001); financial reporting; strategic plan alignment; risk register.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Insurers and Bonding Providers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Demonstrated risk management; low claims history; evidence of management system maturity.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4.2, 6.1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Risk register (QMS-REG-CTX-001); audit results; KPI dashboard; claims monitoring.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Industry Associations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Compliance with industry codes; participation in standards development; promotion of good practice.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Active memberships; participation in standards committees; code-compliance monitoring.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Local Community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Minimal impact from operations (noise, traffic, dust); community engagement; responsiveness to concerns.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Operational controls; community liaison; complaint channel monitoring.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End Users (where different from direct customer)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Safe, functional, conforming product; access to use information; warranty and post-delivery support.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Cl. 4.2, 8.5.5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Product release controls (QMS-PRO-005); user documentation; post-delivery monitoring.</w:t>
            </w:r>
          </w:p>
        </w:tc>
      </w:tr>
    </w:tbl>
    <w:p>
      <w:pPr>
        <w:pStyle w:val="Heading1"/>
        <w:spacing w:after="160" w:before="280"/>
      </w:pPr>
      <w:r>
        <w:t xml:space="preserve">4. Determining Relevance</w:t>
      </w:r>
    </w:p>
    <w:p>
      <w:pPr>
        <w:spacing w:after="120"/>
      </w:pPr>
      <w:r>
        <w:t xml:space="preserve">Not every party that has an interest in [Organisation Name] is relevant to the QMS. A party is considered relevant when one or more of the following applies: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They have requirements that, if not met, would cause [Organisation Name] to fail to meet customer or regulatory expectations.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They have authority to grant, suspend or revoke a licence, certification or contract material to the organisation's operations.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Their actions or inaction can materially affect the organisation's ability to deliver conforming product or service.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They are explicitly identified in a contract, code of practice, or applicable law as a party whose interests must be considered.</w:t>
      </w:r>
    </w:p>
    <w:p>
      <w:pPr>
        <w:pStyle w:val="Heading1"/>
        <w:spacing w:after="160" w:before="280"/>
      </w:pPr>
      <w:r>
        <w:t xml:space="preserve">5. Monitoring and Review of Expectations</w:t>
      </w:r>
    </w:p>
    <w:p>
      <w:pPr>
        <w:spacing w:after="120"/>
      </w:pPr>
      <w:r>
        <w:t xml:space="preserve">Expectations are dynamic. The Quality Manager monitors the following inputs to detect changes: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Customer feedback and complaints (QMS-REG-CCR-001).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Regulator communications, alerts and rule changes.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Supplier and subcontractor performance trends.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Employee feedback through consultation and survey channels.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Industry intelligence — association bulletins, code updates, peer benchmarking.</w:t>
      </w:r>
    </w:p>
    <w:p>
      <w:pPr>
        <w:spacing w:after="120"/>
      </w:pPr>
      <w:r>
        <w:t xml:space="preserve">Material changes are recorded against the relevant row and brought to Management Review.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Review each row for accuracy</w:t>
            </w:r>
          </w:p>
          <w:p>
            <w:r>
              <w:rPr>
                <w:color w:val="806000"/>
                <w:sz w:val="20"/>
                <w:szCs w:val="20"/>
              </w:rPr>
              <w:t xml:space="preserve">The pre-populated rows are typical for an Australian SME in fabrication or construction. Add, remove or amend rows so they reflect your actual interested parties.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Add organisation-specific parties</w:t>
            </w:r>
          </w:p>
          <w:p>
            <w:r>
              <w:rPr>
                <w:color w:val="806000"/>
                <w:sz w:val="20"/>
                <w:szCs w:val="20"/>
              </w:rPr>
              <w:t xml:space="preserve">Examples: financiers if you have material debt; insurers if your insurer has specific QMS expectations; joint venture partners; specific named customers if they impose unique requirements.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Fill the</w:t>
            </w:r>
          </w:p>
          <w:p>
            <w:r>
              <w:rPr>
                <w:color w:val="806000"/>
                <w:sz w:val="20"/>
                <w:szCs w:val="20"/>
              </w:rPr>
              <w:t xml:space="preserve">**'****Needs and Expectations****'**** column thoughtfully** Be specific. 'Compliance' is too vague — better: 'Compliance with the National Construction Code as it applies to structural steel'.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Cross-reference the</w:t>
            </w:r>
          </w:p>
          <w:p>
            <w:r>
              <w:rPr>
                <w:color w:val="806000"/>
                <w:sz w:val="20"/>
                <w:szCs w:val="20"/>
              </w:rPr>
              <w:t xml:space="preserve">**'****How Addressed****'**** column** Each entry must point to a real document, register, or process. If a need is not currently addressed, raise a CAR (QMS-FRM-CAR-001).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Sign and date the authorisation block</w:t>
            </w:r>
          </w:p>
          <w:p>
            <w:r>
              <w:rPr>
                <w:color w:val="806000"/>
                <w:sz w:val="20"/>
                <w:szCs w:val="20"/>
              </w:rPr>
              <w:t xml:space="preserve">Quality Manager and Managing Director must sign before this register is published.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Set a calendar reminder</w:t>
            </w:r>
          </w:p>
          <w:p>
            <w:r>
              <w:rPr>
                <w:color w:val="806000"/>
                <w:sz w:val="20"/>
                <w:szCs w:val="20"/>
              </w:rPr>
              <w:t xml:space="preserve">Diarise the annual review with the Quality Manager.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QMS-REG-INT-001  •  Rev 2.0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QMS-REG-INT-001  •  Rev 2.0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Interested Parties Register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4.2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QMS-REG-INT-001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