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Context and Risk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QMS-REG-CTX-001</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4.1, 6.1</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 at Management Review</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This register captures the external and internal issues relevant to the organisation's strategic direction and to the Quality Management System (Clause 4.1), the risks and opportunities arising from those issues (Clause 6.1), and the controls and treatments applied. It is the primary input to risk-based planning and a recurring input to Management Review.</w:t>
      </w:r>
    </w:p>
    <w:p>
      <w:pPr>
        <w:pStyle w:val="Heading1"/>
        <w:spacing w:after="160" w:before="280"/>
      </w:pPr>
      <w:r>
        <w:t xml:space="preserve">2. External Issues (Cl. 4.1)</w:t>
      </w:r>
    </w:p>
    <w:p>
      <w:pPr>
        <w:spacing w:after="120"/>
      </w:pPr>
      <w:r>
        <w:t xml:space="preserve">The following external issues are relevant to the organisation's purpose and strategic direction and to its ability to achieve the intended results of the QMS: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w:trPr>
          <w:tblHeader/>
        </w:trP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External Issue</w:t>
            </w:r>
          </w:p>
        </w:tc>
        <w:tc>
          <w:tcPr>
            <w:tcW w:type="dxa" w:w="35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Impact on Management System</w:t>
            </w:r>
          </w:p>
        </w:tc>
        <w:tc>
          <w:tcPr>
            <w:tcW w:type="dxa" w:w="38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Monitoring</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Regulatory and legislative changes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May require new controls, additional records, or operational changes; affects cost of compliance.</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Monitor regulator alerts; review Legal Register (QMS-REG-LEG-001) at least annually; subscribe to industry bulletins.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 and market requirements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New prequalification or certification expectations; client-specific quality requirements; competitive tendering pressure.</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Contract review (QMS-PRO-001); regular customer engagement; business development review at Management Review.</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Industry standards and codes of practice</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Revisions to AS/NZS or ISO standards affect procedures, training requirements, and inspection criteria.</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Standards body subscriptions; standards review at Management Review; documented impact assessment for material changes.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Economic conditions and supply chain</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Material availability, cost inflation, exchange rate volatility; supplier insolvency risk.</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Procurement monitoring; multi-source critical materials; supplier financial assessment in QMS-PRO-004.</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Competitive landscape</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Loss of key contracts; pricing pressure; emergence of new competitors.</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Business development review; customer satisfaction monitoring; differentiation through certified quality.</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Technology changes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New tools, automation, digital records; cybersecurity risk; obsolescence of legacy systems.</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Technology review at Management Review; investment in modern QMS tools; cyber awareness.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Climate and environmental conditions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Extreme weather affecting site work; environmental compliance interdependencies.</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Business continuity planning; coordination with environmental management.</w:t>
            </w:r>
          </w:p>
        </w:tc>
      </w:tr>
    </w:tbl>
    <w:p>
      <w:pPr>
        <w:pStyle w:val="Heading1"/>
        <w:spacing w:after="160" w:before="280"/>
      </w:pPr>
      <w:r>
        <w:t xml:space="preserve">3. Internal Issues (Cl. 4.1)</w:t>
      </w:r>
    </w:p>
    <w:p>
      <w:pPr>
        <w:spacing w:after="120"/>
      </w:pPr>
      <w:r>
        <w:t xml:space="preserve">The following internal issues are relevant to the organisation's ability to achieve the intended results of the QMS: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w:trPr>
          <w:tblHeader/>
        </w:trP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Internal Issue</w:t>
            </w:r>
          </w:p>
        </w:tc>
        <w:tc>
          <w:tcPr>
            <w:tcW w:type="dxa" w:w="35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Impact on Management System</w:t>
            </w:r>
          </w:p>
        </w:tc>
        <w:tc>
          <w:tcPr>
            <w:tcW w:type="dxa" w:w="38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Action / Control</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Workforce competence and turnover</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Skills gaps, inconsistent execution, knowledge loss.</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Training matrix (QMS-REG-TRN-001); succession planning; documented work instructions.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Technology and equipment capability</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Process reliability and quality output; calibration drift.</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Preventive maintenance programme; Calibration Register (QMS-REG-CAL-001); capital investment plan.</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Financial resources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Ability to fund QMS improvements, training, and equipment.</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Budget review; objectives prioritisation; ROI tracking on quality investments.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Organisational culture and leadership</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Commitment to QMS requirements; willingness to report nonconformance; safety/quality culture link.</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Leadership behaviour; internal audits; engagement surveys; visible management support.</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Process maturity and documentation</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Consistency, evidence of compliance, ease of training new staff.</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Document control; internal audit programme; process improvement initiatives.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Knowledge management</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Loss of organisational knowledge through retirements, departures, lack of documentation.</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Lessons-learned capture; documented procedures; cross-training.</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Information systems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Reliability and integrity of records; access controls; data backup.</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IT controls; document control procedure; backup and retention policies.</w:t>
            </w:r>
          </w:p>
        </w:tc>
      </w:tr>
    </w:tbl>
    <w:p>
      <w:pPr>
        <w:pStyle w:val="Heading1"/>
        <w:spacing w:after="160" w:before="280"/>
      </w:pPr>
      <w:r>
        <w:t xml:space="preserve">4. Risk Assessment Methodology</w:t>
      </w:r>
    </w:p>
    <w:p>
      <w:pPr>
        <w:spacing w:after="120"/>
      </w:pPr>
      <w:r>
        <w:t xml:space="preserve">[Organisation Name] applies a qualitative risk assessment using the following scales:</w:t>
      </w:r>
    </w:p>
    <w:p>
      <w:pPr>
        <w:pStyle w:val="Heading2"/>
        <w:spacing w:after="100" w:before="200"/>
      </w:pPr>
      <w:r>
        <w:t xml:space="preserve">Likelihood</w:t>
      </w:r>
    </w:p>
    <w:p>
      <w:pPr>
        <w:pStyle w:val="ListParagraph"/>
        <w:numPr>
          <w:ilvl w:val="0"/>
          <w:numId w:val="2"/>
        </w:numPr>
        <w:spacing w:after="60"/>
      </w:pPr>
      <w:r>
        <w:rPr>
          <w:b/>
          <w:bCs/>
        </w:rPr>
        <w:t xml:space="preserve">L — Low: </w:t>
      </w:r>
      <w:r>
        <w:t xml:space="preserve"> Unlikely to occur in normal operations; may occur in exceptional circumstances.</w:t>
      </w:r>
    </w:p>
    <w:p>
      <w:pPr>
        <w:pStyle w:val="ListParagraph"/>
        <w:numPr>
          <w:ilvl w:val="0"/>
          <w:numId w:val="2"/>
        </w:numPr>
        <w:spacing w:after="60"/>
      </w:pPr>
      <w:r>
        <w:rPr>
          <w:b/>
          <w:bCs/>
        </w:rPr>
        <w:t xml:space="preserve">M — Medium: </w:t>
      </w:r>
      <w:r>
        <w:t xml:space="preserve"> Plausible occurrence under normal operations; has occurred elsewhere in the industry.</w:t>
      </w:r>
    </w:p>
    <w:p>
      <w:pPr>
        <w:pStyle w:val="ListParagraph"/>
        <w:numPr>
          <w:ilvl w:val="0"/>
          <w:numId w:val="2"/>
        </w:numPr>
        <w:spacing w:after="60"/>
      </w:pPr>
      <w:r>
        <w:rPr>
          <w:b/>
          <w:bCs/>
        </w:rPr>
        <w:t xml:space="preserve">H — High: </w:t>
      </w:r>
      <w:r>
        <w:t xml:space="preserve"> Likely or frequent occurrence without specific controls.</w:t>
      </w:r>
    </w:p>
    <w:p>
      <w:pPr>
        <w:pStyle w:val="Heading2"/>
        <w:spacing w:after="100" w:before="200"/>
      </w:pPr>
      <w:r>
        <w:t xml:space="preserve">Consequence</w:t>
      </w:r>
    </w:p>
    <w:p>
      <w:pPr>
        <w:pStyle w:val="ListParagraph"/>
        <w:numPr>
          <w:ilvl w:val="0"/>
          <w:numId w:val="2"/>
        </w:numPr>
        <w:spacing w:after="60"/>
      </w:pPr>
      <w:r>
        <w:rPr>
          <w:b/>
          <w:bCs/>
        </w:rPr>
        <w:t xml:space="preserve">L — Low: </w:t>
      </w:r>
      <w:r>
        <w:t xml:space="preserve"> Minor quality impact, easily corrected; no customer impact.</w:t>
      </w:r>
    </w:p>
    <w:p>
      <w:pPr>
        <w:pStyle w:val="ListParagraph"/>
        <w:numPr>
          <w:ilvl w:val="0"/>
          <w:numId w:val="2"/>
        </w:numPr>
        <w:spacing w:after="60"/>
      </w:pPr>
      <w:r>
        <w:rPr>
          <w:b/>
          <w:bCs/>
        </w:rPr>
        <w:t xml:space="preserve">M — Medium: </w:t>
      </w:r>
      <w:r>
        <w:t xml:space="preserve"> Moderate quality impact requiring rework or customer notification; potential repeat business risk.</w:t>
      </w:r>
    </w:p>
    <w:p>
      <w:pPr>
        <w:pStyle w:val="ListParagraph"/>
        <w:numPr>
          <w:ilvl w:val="0"/>
          <w:numId w:val="2"/>
        </w:numPr>
        <w:spacing w:after="60"/>
      </w:pPr>
      <w:r>
        <w:rPr>
          <w:b/>
          <w:bCs/>
        </w:rPr>
        <w:t xml:space="preserve">H — High: </w:t>
      </w:r>
      <w:r>
        <w:t xml:space="preserve"> Significant quality, financial, regulatory or reputational impact; potential loss of customer or certification.</w:t>
      </w:r>
    </w:p>
    <w:p>
      <w:pPr>
        <w:pStyle w:val="Heading1"/>
        <w:spacing w:after="160" w:before="280"/>
      </w:pPr>
      <w:r>
        <w:t xml:space="preserve">5. Risk Register</w:t>
      </w:r>
    </w:p>
    <w:p>
      <w:pPr>
        <w:spacing w:after="120"/>
      </w:pPr>
      <w:r>
        <w:t xml:space="preserve">The following risks have been identified, assessed and assigned to owners. Risks are reviewed at least annually and when material changes occur to context.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1500"/>
        <w:gridCol w:w="1500"/>
        <w:gridCol w:w="1400"/>
        <w:gridCol w:w="1300"/>
        <w:gridCol w:w="1300"/>
        <w:gridCol w:w="1460"/>
      </w:tblGrid>
      <w:tr>
        <w:trPr>
          <w:tblHeader/>
        </w:trPr>
        <w:tc>
          <w:tcPr>
            <w:tcW w:type="dxa" w:w="9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Ref</w:t>
            </w:r>
          </w:p>
        </w:tc>
        <w:tc>
          <w:tcPr>
            <w:tcW w:type="dxa" w:w="15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Risk Description</w:t>
            </w:r>
          </w:p>
        </w:tc>
        <w:tc>
          <w:tcPr>
            <w:tcW w:type="dxa" w:w="15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L</w:t>
            </w:r>
          </w:p>
        </w:tc>
        <w:tc>
          <w:tcPr>
            <w:tcW w:type="dxa" w:w="14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w:t>
            </w:r>
          </w:p>
        </w:tc>
        <w:tc>
          <w:tcPr>
            <w:tcW w:type="dxa" w:w="13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Rating</w:t>
            </w:r>
          </w:p>
        </w:tc>
        <w:tc>
          <w:tcPr>
            <w:tcW w:type="dxa" w:w="13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Controls</w:t>
            </w:r>
          </w:p>
        </w:tc>
        <w:tc>
          <w:tcPr>
            <w:tcW w:type="dxa" w:w="14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R-Q-001</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Failure to meet customer specification on a major contract resulting in rejection of delivered product</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High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Multi-stage inspection (QMS-PRO-005); ITPs; competent personnel; hold points; calibrated M&amp;TE</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R-Q-002</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Supplier delivers nonconforming material undetected at incoming inspection, used in production</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High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QMS-PRO-004 supplier evaluation; 100% incoming inspection for Critical supply; traceability</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R-Q-003</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Loss of ISO 9001 certification due to systemic audit finding</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Med</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Internal audit programme; management review; effective CAR closure</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R-Q-004</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Calibration lapses leading to acceptance of nonconforming product</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Med</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QMS-PRO-006 calibration; calibration register monitoring; clear out-of-cal response</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QA Inspector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R-Q-005</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Loss of key technical personnel without succession</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Med</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Documented procedures; cross-training; competence matrix (QMS-REG-TRN-001)</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R-Q-006</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 complaint escalates to litigation or regulatory action</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Med</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QMS-PRO-002 complaints; early customer notification protocols; root cause discipline</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R-Q-007</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Failure to identify a legislative change affecting product requirements</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H</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Med</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Legal Register review (QMS-REG-LEG-001); regulator alerts; industry association membership</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R-Q-008</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Recurring nonconformance not detected through trend analysis</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Med</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Monthly NCR trend review (QMS-PRO-003); management review</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R-Q-009</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Records loss preventing demonstration of conformance</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Low</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Document control procedure; backup; secure storage; retention schedule</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r>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R-Q-010</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Customer-supplied property damaged or lost during processing</w:t>
            </w:r>
          </w:p>
        </w:tc>
        <w:tc>
          <w:tcPr>
            <w:tcW w:type="dxa" w:w="1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w:t>
            </w:r>
          </w:p>
        </w:tc>
        <w:tc>
          <w:tcPr>
            <w:tcW w:type="dxa" w:w="14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Low</w:t>
            </w:r>
          </w:p>
        </w:tc>
        <w:tc>
          <w:tcPr>
            <w:tcW w:type="dxa" w:w="13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 property identification and segregation; insurance; protective storage</w:t>
            </w:r>
          </w:p>
        </w:tc>
        <w:tc>
          <w:tcPr>
            <w:tcW w:type="dxa" w:w="14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r>
    </w:tbl>
    <w:p>
      <w:pPr>
        <w:pStyle w:val="Heading2"/>
        <w:spacing w:after="100" w:before="200"/>
      </w:pPr>
      <w:r>
        <w:t xml:space="preserve">Risk Treatment Principles</w:t>
      </w:r>
    </w:p>
    <w:p>
      <w:pPr>
        <w:pStyle w:val="ListParagraph"/>
        <w:numPr>
          <w:ilvl w:val="0"/>
          <w:numId w:val="2"/>
        </w:numPr>
        <w:spacing w:after="60"/>
      </w:pPr>
      <w:r>
        <w:rPr>
          <w:b/>
          <w:bCs/>
        </w:rPr>
        <w:t xml:space="preserve">High risks: </w:t>
      </w:r>
      <w:r>
        <w:t xml:space="preserve"> Require active treatment plan with defined owner and due date. Reviewed at every Management Review until reduced.</w:t>
      </w:r>
    </w:p>
    <w:p>
      <w:pPr>
        <w:pStyle w:val="ListParagraph"/>
        <w:numPr>
          <w:ilvl w:val="0"/>
          <w:numId w:val="2"/>
        </w:numPr>
        <w:spacing w:after="60"/>
      </w:pPr>
      <w:r>
        <w:rPr>
          <w:b/>
          <w:bCs/>
        </w:rPr>
        <w:t xml:space="preserve">Medium risks: </w:t>
      </w:r>
      <w:r>
        <w:t xml:space="preserve"> Existing controls maintained and monitored. Reviewed annually.</w:t>
      </w:r>
    </w:p>
    <w:p>
      <w:pPr>
        <w:pStyle w:val="ListParagraph"/>
        <w:numPr>
          <w:ilvl w:val="0"/>
          <w:numId w:val="2"/>
        </w:numPr>
        <w:spacing w:after="60"/>
      </w:pPr>
      <w:r>
        <w:rPr>
          <w:b/>
          <w:bCs/>
        </w:rPr>
        <w:t xml:space="preserve">Low risks: </w:t>
      </w:r>
      <w:r>
        <w:t xml:space="preserve"> Accepted and monitored. Reviewed biennially or on context change.</w:t>
      </w:r>
    </w:p>
    <w:p>
      <w:pPr>
        <w:pStyle w:val="Heading1"/>
        <w:spacing w:after="160" w:before="280"/>
      </w:pPr>
      <w:r>
        <w:t xml:space="preserve">6. Opportunities Register</w:t>
      </w:r>
    </w:p>
    <w:p>
      <w:pPr>
        <w:spacing w:after="120"/>
      </w:pPr>
      <w:r>
        <w:t xml:space="preserve">The following opportunities have been identified and prioritised for evaluation: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w:trPr>
          <w:tblHeader/>
        </w:trP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Ref</w:t>
            </w:r>
          </w:p>
        </w:tc>
        <w:tc>
          <w:tcPr>
            <w:tcW w:type="dxa" w:w="35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Opportunity Description</w:t>
            </w:r>
          </w:p>
        </w:tc>
        <w:tc>
          <w:tcPr>
            <w:tcW w:type="dxa" w:w="38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O-Q-001</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Adoption of ISO 14001 / ISO 45001 integration to win new tenders requiring full IMS</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O-Q-002</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Digital QMS rollout to reduce paper records and improve traceability</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O-Q-003</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Supplier consolidation to improve consistency and reduce admin burden</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Procurement Manager</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O-Q-004</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Investment in advanced inspection (e.g. 3D scanning, automated NDT) to reduce inspection time</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O-Q-005</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 satisfaction differentiation as a marketing position</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Business Development Manager</w:t>
            </w:r>
          </w:p>
        </w:tc>
      </w:tr>
    </w:tbl>
    <w:p>
      <w:pPr>
        <w:pStyle w:val="Heading1"/>
        <w:spacing w:after="160" w:before="280"/>
      </w:pPr>
      <w:r>
        <w:t xml:space="preserve">7. Review and Update</w:t>
      </w:r>
    </w:p>
    <w:p>
      <w:pPr>
        <w:pStyle w:val="ListParagraph"/>
        <w:numPr>
          <w:ilvl w:val="0"/>
          <w:numId w:val="2"/>
        </w:numPr>
        <w:spacing w:after="60"/>
      </w:pPr>
      <w:r>
        <w:t xml:space="preserve">This register is reviewed at least annually as part of Management Review.</w:t>
      </w:r>
    </w:p>
    <w:p>
      <w:pPr>
        <w:pStyle w:val="ListParagraph"/>
        <w:numPr>
          <w:ilvl w:val="0"/>
          <w:numId w:val="2"/>
        </w:numPr>
        <w:spacing w:after="60"/>
      </w:pPr>
      <w:r>
        <w:t xml:space="preserve">New risks or opportunities can be raised at any time by any employee or manager.</w:t>
      </w:r>
    </w:p>
    <w:p>
      <w:pPr>
        <w:pStyle w:val="ListParagraph"/>
        <w:numPr>
          <w:ilvl w:val="0"/>
          <w:numId w:val="2"/>
        </w:numPr>
        <w:spacing w:after="60"/>
      </w:pPr>
      <w:r>
        <w:t xml:space="preserve">Material context changes (new contract, regulator change, restructure) trigger an interim review by the Quality Manager.</w:t>
      </w:r>
    </w:p>
    <w:p>
      <w:pPr>
        <w:pStyle w:val="ListParagraph"/>
        <w:numPr>
          <w:ilvl w:val="0"/>
          <w:numId w:val="2"/>
        </w:numPr>
        <w:spacing w:after="60"/>
      </w:pPr>
      <w:r>
        <w:t xml:space="preserve">Changes to risk ratings, controls or owners must be approved by the Quality Manager.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Run a risk workshop</w:t>
            </w:r>
          </w:p>
          <w:p>
            <w:r>
              <w:rPr>
                <w:color w:val="806000"/>
                <w:sz w:val="20"/>
                <w:szCs w:val="20"/>
              </w:rPr>
              <w:t xml:space="preserve">Don't fill this in alone. Get the leadership team in a room. The combined view of operational, quality, sales and finance perspectives will surface risks no single person knows about.</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Validate the pre-populated risks</w:t>
            </w:r>
          </w:p>
          <w:p>
            <w:r>
              <w:rPr>
                <w:color w:val="806000"/>
                <w:sz w:val="20"/>
                <w:szCs w:val="20"/>
              </w:rPr>
              <w:t xml:space="preserve">The 10 risks listed are common in fabrication / construction. Confirm each one applies to your business. Remove what doesn't apply, add what's missing.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Set L and C ratings honestly</w:t>
            </w:r>
          </w:p>
          <w:p>
            <w:r>
              <w:rPr>
                <w:color w:val="806000"/>
                <w:sz w:val="20"/>
                <w:szCs w:val="20"/>
              </w:rPr>
              <w:t xml:space="preserve">Overly conservative ratings (everything is medium) and overly optimistic ratings (everything is low) both fail an audit. Be candid.</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Assign owners with authority</w:t>
            </w:r>
          </w:p>
          <w:p>
            <w:r>
              <w:rPr>
                <w:color w:val="806000"/>
                <w:sz w:val="20"/>
                <w:szCs w:val="20"/>
              </w:rPr>
              <w:t xml:space="preserve">The named owner must have the authority to direct resources toward the control or treatment. Don't make the Quality Manager the owner of everything.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Add organisation-specific risks</w:t>
            </w:r>
          </w:p>
          <w:p>
            <w:r>
              <w:rPr>
                <w:color w:val="806000"/>
                <w:sz w:val="20"/>
                <w:szCs w:val="20"/>
              </w:rPr>
              <w:t xml:space="preserve">Examples to consider: dependency on a single major customer; key-person risk; specific contract penalty exposure; specific geographical risk.</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Develop treatment plans for HIGH risks</w:t>
            </w:r>
          </w:p>
          <w:p>
            <w:r>
              <w:rPr>
                <w:color w:val="806000"/>
                <w:sz w:val="20"/>
                <w:szCs w:val="20"/>
              </w:rPr>
              <w:t xml:space="preserve">Each HIGH risk needs an active treatment plan with owner, action and target date. Without a plan, an auditor will challenge whether the rating is honest.</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7. Capture lessons learned in the Opportunities register</w:t>
            </w:r>
          </w:p>
          <w:p>
            <w:r>
              <w:rPr>
                <w:color w:val="806000"/>
                <w:sz w:val="20"/>
                <w:szCs w:val="20"/>
              </w:rPr>
              <w:t xml:space="preserve">Every Management Review should generate opportunities. Track them here.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8. Diarise the annual review</w:t>
            </w:r>
          </w:p>
          <w:p>
            <w:r>
              <w:rPr>
                <w:color w:val="806000"/>
                <w:sz w:val="20"/>
                <w:szCs w:val="20"/>
              </w:rPr>
              <w:t xml:space="preserve">Schedule the review at least 30 days before the next Management Review so the output can be presented.</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9. DELETE this guidance section before publishing</w:t>
            </w:r>
          </w:p>
          <w:p>
            <w:r>
              <w:rPr>
                <w:color w:val="806000"/>
                <w:sz w:val="20"/>
                <w:szCs w:val="20"/>
              </w:rPr>
              <w:t xml:space="preserve">Select the entire yellow-bordered block and delete.</w:t>
            </w:r>
          </w:p>
        </w:tc>
      </w:tr>
    </w:tbl>
    <w:p>
      <w:pPr>
        <w:spacing w:after="120"/>
      </w:pPr>
      <w:r>
        <w:t xml:space="preserve">QMS-REG-CTX-001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QMS-REG-CTX-001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Context and Risk Register</w:t>
          </w:r>
        </w:p>
        <w:p>
          <w:pPr>
            <w:jc w:val="center"/>
          </w:pPr>
          <w:r>
            <w:rPr>
              <w:i/>
              <w:iCs/>
              <w:color w:val="595959"/>
              <w:sz w:val="16"/>
              <w:szCs w:val="16"/>
            </w:rPr>
            <w:t xml:space="preserve">ISO 9001:2015 — Cl. 4.1 / 6.1</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QMS-REG-CTX-001</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