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ISO Clause Mapping and Compliance Procedure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QMS-PRO-012</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Multi-standard (Harmonised Structure)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1.0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Quarterly self-check, annual full review</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To define how [Organisation Name] maintains a live, auditable mapping between each clause of the ISO standards it operates against and the specific documents, records and processes that demonstrate compliance. This procedure governs the ISO Clause Compliance Matrix (QMS-REG-MAP-001).</w:t>
      </w:r>
    </w:p>
    <w:p>
      <w:pPr>
        <w:spacing w:after="120"/>
      </w:pPr>
      <w:r>
        <w:t xml:space="preserve">The matrix is the single artefact that lets an auditor, manager or new starter answer the question: 'How does [Organisation Name] meet Clause X?' with a definitive reference, not a search.</w:t>
      </w:r>
    </w:p>
    <w:p>
      <w:pPr>
        <w:pStyle w:val="Heading1"/>
        <w:spacing w:after="160" w:before="280"/>
      </w:pPr>
      <w:r>
        <w:t xml:space="preserve">2. Scope</w:t>
      </w:r>
    </w:p>
    <w:p>
      <w:pPr>
        <w:spacing w:after="120"/>
      </w:pPr>
      <w:r>
        <w:t xml:space="preserve">Applies to all ISO management system standards [Organisation Name] is certified to or operates against:</w:t>
      </w:r>
    </w:p>
    <w:p>
      <w:pPr>
        <w:pStyle w:val="ListParagraph"/>
        <w:numPr>
          <w:ilvl w:val="0"/>
          <w:numId w:val="2"/>
        </w:numPr>
        <w:spacing w:after="60"/>
      </w:pPr>
      <w:r>
        <w:t xml:space="preserve">ISO 9001:2015 — Quality Management Systems.</w:t>
      </w:r>
    </w:p>
    <w:p>
      <w:pPr>
        <w:pStyle w:val="ListParagraph"/>
        <w:numPr>
          <w:ilvl w:val="0"/>
          <w:numId w:val="2"/>
        </w:numPr>
        <w:spacing w:after="60"/>
      </w:pPr>
      <w:r>
        <w:t xml:space="preserve">ISO 14001:2015 — Environmental Management Systems.</w:t>
      </w:r>
    </w:p>
    <w:p>
      <w:pPr>
        <w:pStyle w:val="ListParagraph"/>
        <w:numPr>
          <w:ilvl w:val="0"/>
          <w:numId w:val="2"/>
        </w:numPr>
        <w:spacing w:after="60"/>
      </w:pPr>
      <w:r>
        <w:t xml:space="preserve">ISO 45001:2018 — Occupational Health and Safety Management Systems.</w:t>
      </w:r>
    </w:p>
    <w:p>
      <w:pPr>
        <w:pStyle w:val="ListParagraph"/>
        <w:numPr>
          <w:ilvl w:val="0"/>
          <w:numId w:val="2"/>
        </w:numPr>
        <w:spacing w:after="60"/>
      </w:pPr>
      <w:r>
        <w:t xml:space="preserve">Any other Harmonised Structure standard adopted by [Organisation Name].</w:t>
      </w:r>
    </w:p>
    <w:p>
      <w:pPr>
        <w:pStyle w:val="Heading1"/>
        <w:spacing w:after="160" w:before="280"/>
      </w:pPr>
      <w:r>
        <w:t xml:space="preserve">3. Why a Compliance Matrix</w:t>
      </w:r>
    </w:p>
    <w:p>
      <w:pPr>
        <w:spacing w:after="120"/>
      </w:pPr>
      <w:r>
        <w:t xml:space="preserve">ISO management system standards share a common Harmonised Structure: Clauses 4 through 10 have substantially the same numbering across 9001, 14001 and 45001. A single matrix can show, for each clause, which documents and records satisfy the requirements across multiple standards simultaneously.</w:t>
      </w:r>
    </w:p>
    <w:p>
      <w:pPr>
        <w:spacing w:after="120"/>
      </w:pPr>
      <w:r>
        <w:t xml:space="preserve">Benefits:</w:t>
      </w:r>
    </w:p>
    <w:p>
      <w:pPr>
        <w:pStyle w:val="ListParagraph"/>
        <w:numPr>
          <w:ilvl w:val="0"/>
          <w:numId w:val="2"/>
        </w:numPr>
        <w:spacing w:after="60"/>
      </w:pPr>
      <w:r>
        <w:t xml:space="preserve">Auditors find evidence in one place.</w:t>
      </w:r>
    </w:p>
    <w:p>
      <w:pPr>
        <w:pStyle w:val="ListParagraph"/>
        <w:numPr>
          <w:ilvl w:val="0"/>
          <w:numId w:val="2"/>
        </w:numPr>
        <w:spacing w:after="60"/>
      </w:pPr>
      <w:r>
        <w:t xml:space="preserve">Document owners know exactly which clauses depend on their documents staying current.</w:t>
      </w:r>
    </w:p>
    <w:p>
      <w:pPr>
        <w:pStyle w:val="ListParagraph"/>
        <w:numPr>
          <w:ilvl w:val="0"/>
          <w:numId w:val="2"/>
        </w:numPr>
        <w:spacing w:after="60"/>
      </w:pPr>
      <w:r>
        <w:t xml:space="preserve">Gaps become visible — clauses with no mapping or stale evidence are flagged.</w:t>
      </w:r>
    </w:p>
    <w:p>
      <w:pPr>
        <w:pStyle w:val="ListParagraph"/>
        <w:numPr>
          <w:ilvl w:val="0"/>
          <w:numId w:val="2"/>
        </w:numPr>
        <w:spacing w:after="60"/>
      </w:pPr>
      <w:r>
        <w:t xml:space="preserve">New standards or revisions can be onboarded by adding columns, not rebuilding the matrix.</w:t>
      </w:r>
    </w:p>
    <w:p>
      <w:pPr>
        <w:pStyle w:val="Heading1"/>
        <w:spacing w:after="160" w:before="280"/>
      </w:pPr>
      <w:r>
        <w:t xml:space="preserve">4. Matrix Structure</w:t>
      </w:r>
    </w:p>
    <w:p>
      <w:pPr>
        <w:spacing w:after="120"/>
      </w:pPr>
      <w:r>
        <w:t xml:space="preserve">The matrix (QMS-REG-MAP-001) is a wide table. Each row is a clause. Columns:</w:t>
      </w:r>
    </w:p>
    <w:p>
      <w:pPr>
        <w:pStyle w:val="ListParagraph"/>
        <w:numPr>
          <w:ilvl w:val="0"/>
          <w:numId w:val="2"/>
        </w:numPr>
        <w:spacing w:after="60"/>
      </w:pPr>
      <w:r>
        <w:rPr>
          <w:b/>
          <w:bCs/>
        </w:rPr>
        <w:t xml:space="preserve">Clause No. — </w:t>
      </w:r>
      <w:r>
        <w:t xml:space="preserve"> HS numbering shared across standards (e.g. 4.1, 6.1.2, 8.4.3).</w:t>
      </w:r>
    </w:p>
    <w:p>
      <w:pPr>
        <w:pStyle w:val="ListParagraph"/>
        <w:numPr>
          <w:ilvl w:val="0"/>
          <w:numId w:val="2"/>
        </w:numPr>
        <w:spacing w:after="60"/>
      </w:pPr>
      <w:r>
        <w:rPr>
          <w:b/>
          <w:bCs/>
        </w:rPr>
        <w:t xml:space="preserve">Clause Title — </w:t>
      </w:r>
      <w:r>
        <w:t xml:space="preserve"> As stated in the standard.</w:t>
      </w:r>
    </w:p>
    <w:p>
      <w:pPr>
        <w:pStyle w:val="ListParagraph"/>
        <w:numPr>
          <w:ilvl w:val="0"/>
          <w:numId w:val="2"/>
        </w:numPr>
        <w:spacing w:after="60"/>
      </w:pPr>
      <w:r>
        <w:rPr>
          <w:b/>
          <w:bCs/>
        </w:rPr>
        <w:t xml:space="preserve">9001 / 14001 / 45001 applicability — </w:t>
      </w:r>
      <w:r>
        <w:t xml:space="preserve"> Yes/No flag per standard.</w:t>
      </w:r>
    </w:p>
    <w:p>
      <w:pPr>
        <w:pStyle w:val="ListParagraph"/>
        <w:numPr>
          <w:ilvl w:val="0"/>
          <w:numId w:val="2"/>
        </w:numPr>
        <w:spacing w:after="60"/>
      </w:pPr>
      <w:r>
        <w:rPr>
          <w:b/>
          <w:bCs/>
        </w:rPr>
        <w:t xml:space="preserve">Primary Document — </w:t>
      </w:r>
      <w:r>
        <w:t xml:space="preserve"> The principal [Organisation Name] QMS document that addresses the requirement.</w:t>
      </w:r>
    </w:p>
    <w:p>
      <w:pPr>
        <w:pStyle w:val="ListParagraph"/>
        <w:numPr>
          <w:ilvl w:val="0"/>
          <w:numId w:val="2"/>
        </w:numPr>
        <w:spacing w:after="60"/>
      </w:pPr>
      <w:r>
        <w:rPr>
          <w:b/>
          <w:bCs/>
        </w:rPr>
        <w:t xml:space="preserve">Supporting Documents and Registers — </w:t>
      </w:r>
      <w:r>
        <w:t xml:space="preserve"> Other documents that contribute.</w:t>
      </w:r>
    </w:p>
    <w:p>
      <w:pPr>
        <w:pStyle w:val="ListParagraph"/>
        <w:numPr>
          <w:ilvl w:val="0"/>
          <w:numId w:val="2"/>
        </w:numPr>
        <w:spacing w:after="60"/>
      </w:pPr>
      <w:r>
        <w:rPr>
          <w:b/>
          <w:bCs/>
        </w:rPr>
        <w:t xml:space="preserve">Evidence Records — </w:t>
      </w:r>
      <w:r>
        <w:t xml:space="preserve"> The records produced as evidence.</w:t>
      </w:r>
    </w:p>
    <w:p>
      <w:pPr>
        <w:pStyle w:val="ListParagraph"/>
        <w:numPr>
          <w:ilvl w:val="0"/>
          <w:numId w:val="2"/>
        </w:numPr>
        <w:spacing w:after="60"/>
      </w:pPr>
      <w:r>
        <w:rPr>
          <w:b/>
          <w:bCs/>
        </w:rPr>
        <w:t xml:space="preserve">Owner — </w:t>
      </w:r>
      <w:r>
        <w:t xml:space="preserve"> Named role accountable for continued compliance.</w:t>
      </w:r>
    </w:p>
    <w:p>
      <w:pPr>
        <w:pStyle w:val="ListParagraph"/>
        <w:numPr>
          <w:ilvl w:val="0"/>
          <w:numId w:val="2"/>
        </w:numPr>
        <w:spacing w:after="60"/>
      </w:pPr>
      <w:r>
        <w:rPr>
          <w:b/>
          <w:bCs/>
        </w:rPr>
        <w:t xml:space="preserve">Status — </w:t>
      </w:r>
      <w:r>
        <w:t xml:space="preserve"> GREEN / AMBER / RED / N/A.</w:t>
      </w:r>
    </w:p>
    <w:p>
      <w:pPr>
        <w:pStyle w:val="ListParagraph"/>
        <w:numPr>
          <w:ilvl w:val="0"/>
          <w:numId w:val="2"/>
        </w:numPr>
        <w:spacing w:after="60"/>
      </w:pPr>
      <w:r>
        <w:rPr>
          <w:b/>
          <w:bCs/>
        </w:rPr>
        <w:t xml:space="preserve">Last Verified — </w:t>
      </w:r>
      <w:r>
        <w:t xml:space="preserve"> Date of last verification.</w:t>
      </w:r>
    </w:p>
    <w:p>
      <w:pPr>
        <w:pStyle w:val="ListParagraph"/>
        <w:numPr>
          <w:ilvl w:val="0"/>
          <w:numId w:val="2"/>
        </w:numPr>
        <w:spacing w:after="60"/>
      </w:pPr>
      <w:r>
        <w:rPr>
          <w:b/>
          <w:bCs/>
        </w:rPr>
        <w:t xml:space="preserve">Notes — </w:t>
      </w:r>
      <w:r>
        <w:t xml:space="preserve"> Context, gaps under remediation, interpretation.</w:t>
      </w:r>
    </w:p>
    <w:p>
      <w:pPr>
        <w:pStyle w:val="Heading1"/>
        <w:spacing w:after="160" w:before="280"/>
      </w:pPr>
      <w:r>
        <w:t xml:space="preserve">5. Status Definitions</w:t>
      </w:r>
    </w:p>
    <w:p>
      <w:pPr>
        <w:pStyle w:val="ListParagraph"/>
        <w:numPr>
          <w:ilvl w:val="0"/>
          <w:numId w:val="2"/>
        </w:numPr>
        <w:spacing w:after="60"/>
      </w:pPr>
      <w:r>
        <w:rPr>
          <w:b/>
          <w:bCs/>
        </w:rPr>
        <w:t xml:space="preserve">GREEN — Compliant. </w:t>
      </w:r>
      <w:r>
        <w:t xml:space="preserve"> Requirement is addressed. Evidence is current. Verified within review cycle.</w:t>
      </w:r>
    </w:p>
    <w:p>
      <w:pPr>
        <w:pStyle w:val="ListParagraph"/>
        <w:numPr>
          <w:ilvl w:val="0"/>
          <w:numId w:val="2"/>
        </w:numPr>
        <w:spacing w:after="60"/>
      </w:pPr>
      <w:r>
        <w:rPr>
          <w:b/>
          <w:bCs/>
        </w:rPr>
        <w:t xml:space="preserve">AMBER — Watch. </w:t>
      </w:r>
      <w:r>
        <w:t xml:space="preserve"> Addressed but evidence is stale (&gt; 6 months since last verified), or a referenced document is under revision, or a partial gap exists that doesn't yet warrant a CAR.</w:t>
      </w:r>
    </w:p>
    <w:p>
      <w:pPr>
        <w:pStyle w:val="ListParagraph"/>
        <w:numPr>
          <w:ilvl w:val="0"/>
          <w:numId w:val="2"/>
        </w:numPr>
        <w:spacing w:after="60"/>
      </w:pPr>
      <w:r>
        <w:rPr>
          <w:b/>
          <w:bCs/>
        </w:rPr>
        <w:t xml:space="preserve">RED — Gap. </w:t>
      </w:r>
      <w:r>
        <w:t xml:space="preserve"> Not adequately addressed. CAR raised. Active remediation in progress.</w:t>
      </w:r>
    </w:p>
    <w:p>
      <w:pPr>
        <w:pStyle w:val="ListParagraph"/>
        <w:numPr>
          <w:ilvl w:val="0"/>
          <w:numId w:val="2"/>
        </w:numPr>
        <w:spacing w:after="60"/>
      </w:pPr>
      <w:r>
        <w:rPr>
          <w:b/>
          <w:bCs/>
        </w:rPr>
        <w:t xml:space="preserve">N/A — Not Applicable. </w:t>
      </w:r>
      <w:r>
        <w:t xml:space="preserve"> Requirement does not apply. Justification documented and approved.</w:t>
      </w:r>
    </w:p>
    <w:p>
      <w:pPr>
        <w:pStyle w:val="Heading1"/>
        <w:spacing w:after="160" w:before="280"/>
      </w:pPr>
      <w:r>
        <w:t xml:space="preserve">6. Maintenance Cycle</w:t>
      </w:r>
    </w:p>
    <w:p>
      <w:pPr>
        <w:pStyle w:val="ListParagraph"/>
        <w:numPr>
          <w:ilvl w:val="0"/>
          <w:numId w:val="2"/>
        </w:numPr>
        <w:spacing w:after="60"/>
      </w:pPr>
      <w:r>
        <w:rPr>
          <w:b/>
          <w:bCs/>
        </w:rPr>
        <w:t xml:space="preserve">Quarterly self-check by clause owner — </w:t>
      </w:r>
      <w:r>
        <w:t xml:space="preserve"> Each owner reviews their assigned clauses. Confirms references and evidence are current. Updates the matrix.</w:t>
      </w:r>
    </w:p>
    <w:p>
      <w:pPr>
        <w:pStyle w:val="ListParagraph"/>
        <w:numPr>
          <w:ilvl w:val="0"/>
          <w:numId w:val="2"/>
        </w:numPr>
        <w:spacing w:after="60"/>
      </w:pPr>
      <w:r>
        <w:rPr>
          <w:b/>
          <w:bCs/>
        </w:rPr>
        <w:t xml:space="preserve">Internal audit verification — </w:t>
      </w:r>
      <w:r>
        <w:t xml:space="preserve"> Auditor independently verifies referenced evidence exists and demonstrates conformance.</w:t>
      </w:r>
    </w:p>
    <w:p>
      <w:pPr>
        <w:pStyle w:val="ListParagraph"/>
        <w:numPr>
          <w:ilvl w:val="0"/>
          <w:numId w:val="2"/>
        </w:numPr>
        <w:spacing w:after="60"/>
      </w:pPr>
      <w:r>
        <w:rPr>
          <w:b/>
          <w:bCs/>
        </w:rPr>
        <w:t xml:space="preserve">Standards change review — </w:t>
      </w:r>
      <w:r>
        <w:t xml:space="preserve"> On standard revision, matrix updated to reflect new numbering, new requirements or removed requirements. Impact assessed; CAR raised if a new requirement creates a gap.</w:t>
      </w:r>
    </w:p>
    <w:p>
      <w:pPr>
        <w:pStyle w:val="ListParagraph"/>
        <w:numPr>
          <w:ilvl w:val="0"/>
          <w:numId w:val="2"/>
        </w:numPr>
        <w:spacing w:after="60"/>
      </w:pPr>
      <w:r>
        <w:rPr>
          <w:b/>
          <w:bCs/>
        </w:rPr>
        <w:t xml:space="preserve">Pre-certification check — </w:t>
      </w:r>
      <w:r>
        <w:t xml:space="preserve"> 30 days before external audit, Quality Manager walks matrix end-to-end. AMBER or RED items escalated for resolution.</w:t>
      </w:r>
    </w:p>
    <w:p>
      <w:pPr>
        <w:pStyle w:val="ListParagraph"/>
        <w:numPr>
          <w:ilvl w:val="0"/>
          <w:numId w:val="2"/>
        </w:numPr>
        <w:spacing w:after="60"/>
      </w:pPr>
      <w:r>
        <w:rPr>
          <w:b/>
          <w:bCs/>
        </w:rPr>
        <w:t xml:space="preserve">Management Review presentation — </w:t>
      </w:r>
      <w:r>
        <w:t xml:space="preserve"> Matrix status summary presented at each MR.</w:t>
      </w:r>
    </w:p>
    <w:p>
      <w:pPr>
        <w:pStyle w:val="Heading1"/>
        <w:spacing w:after="160" w:before="280"/>
      </w:pPr>
      <w:r>
        <w:t xml:space="preserve">7. Updating the Matrix</w:t>
      </w:r>
    </w:p>
    <w:p>
      <w:pPr>
        <w:pStyle w:val="ListParagraph"/>
        <w:numPr>
          <w:ilvl w:val="0"/>
          <w:numId w:val="2"/>
        </w:numPr>
        <w:spacing w:after="60"/>
      </w:pPr>
      <w:r>
        <w:t xml:space="preserve">Trigger event occurs (document revision, audit finding, standards change, new process).</w:t>
      </w:r>
    </w:p>
    <w:p>
      <w:pPr>
        <w:pStyle w:val="ListParagraph"/>
        <w:numPr>
          <w:ilvl w:val="0"/>
          <w:numId w:val="2"/>
        </w:numPr>
        <w:spacing w:after="60"/>
      </w:pPr>
      <w:r>
        <w:t xml:space="preserve">Clause owner updates the relevant row(s).</w:t>
      </w:r>
    </w:p>
    <w:p>
      <w:pPr>
        <w:pStyle w:val="ListParagraph"/>
        <w:numPr>
          <w:ilvl w:val="0"/>
          <w:numId w:val="2"/>
        </w:numPr>
        <w:spacing w:after="60"/>
      </w:pPr>
      <w:r>
        <w:t xml:space="preserve">Substantive changes (new mappings, status changes from GREEN to AMBER/RED) are reviewed by the Quality Manager.</w:t>
      </w:r>
    </w:p>
    <w:p>
      <w:pPr>
        <w:pStyle w:val="ListParagraph"/>
        <w:numPr>
          <w:ilvl w:val="0"/>
          <w:numId w:val="2"/>
        </w:numPr>
        <w:spacing w:after="60"/>
      </w:pPr>
      <w:r>
        <w:t xml:space="preserve">Status changes to RED automatically generate a CAR per QMS-PRO-009.</w:t>
      </w:r>
    </w:p>
    <w:p>
      <w:pPr>
        <w:pStyle w:val="ListParagraph"/>
        <w:numPr>
          <w:ilvl w:val="0"/>
          <w:numId w:val="2"/>
        </w:numPr>
        <w:spacing w:after="60"/>
      </w:pPr>
      <w:r>
        <w:t xml:space="preserve">Matrix change history is preserved in the portal audit trail.</w:t>
      </w:r>
    </w:p>
    <w:p>
      <w:pPr>
        <w:pStyle w:val="Heading1"/>
        <w:spacing w:after="160" w:before="280"/>
      </w:pPr>
      <w:r>
        <w:t xml:space="preserve">8. Owner Assignment</w:t>
      </w:r>
    </w:p>
    <w:p>
      <w:pPr>
        <w:spacing w:after="120"/>
      </w:pPr>
      <w:r>
        <w:t xml:space="preserve">Every clause must have a single named owner. Typical assignments:</w:t>
      </w:r>
    </w:p>
    <w:p>
      <w:pPr>
        <w:pStyle w:val="ListParagraph"/>
        <w:numPr>
          <w:ilvl w:val="0"/>
          <w:numId w:val="2"/>
        </w:numPr>
        <w:spacing w:after="60"/>
      </w:pPr>
      <w:r>
        <w:rPr>
          <w:b/>
          <w:bCs/>
        </w:rPr>
        <w:t xml:space="preserve">Clauses 4 (Context), 5 (Leadership), 6 (Planning), 9.3 (MR): </w:t>
      </w:r>
      <w:r>
        <w:t xml:space="preserve"> Quality Manager.</w:t>
      </w:r>
    </w:p>
    <w:p>
      <w:pPr>
        <w:pStyle w:val="ListParagraph"/>
        <w:numPr>
          <w:ilvl w:val="0"/>
          <w:numId w:val="2"/>
        </w:numPr>
        <w:spacing w:after="60"/>
      </w:pPr>
      <w:r>
        <w:rPr>
          <w:b/>
          <w:bCs/>
        </w:rPr>
        <w:t xml:space="preserve">Clause 7 (Support): </w:t>
      </w:r>
      <w:r>
        <w:t xml:space="preserve"> Mixed — HR for competence, IT for documented information systems, Quality Manager for the rest.</w:t>
      </w:r>
    </w:p>
    <w:p>
      <w:pPr>
        <w:pStyle w:val="ListParagraph"/>
        <w:numPr>
          <w:ilvl w:val="0"/>
          <w:numId w:val="2"/>
        </w:numPr>
        <w:spacing w:after="60"/>
      </w:pPr>
      <w:r>
        <w:rPr>
          <w:b/>
          <w:bCs/>
        </w:rPr>
        <w:t xml:space="preserve">Clause 8 (Operation): </w:t>
      </w:r>
      <w:r>
        <w:t xml:space="preserve"> Operations Manager, with QM input on quality-specific sub-clauses.</w:t>
      </w:r>
    </w:p>
    <w:p>
      <w:pPr>
        <w:pStyle w:val="ListParagraph"/>
        <w:numPr>
          <w:ilvl w:val="0"/>
          <w:numId w:val="2"/>
        </w:numPr>
        <w:spacing w:after="60"/>
      </w:pPr>
      <w:r>
        <w:rPr>
          <w:b/>
          <w:bCs/>
        </w:rPr>
        <w:t xml:space="preserve">Clause 9.1 (Monitoring), 9.2 (Audit), 10 (Improvement): </w:t>
      </w:r>
      <w:r>
        <w:t xml:space="preserve"> Quality Manager.</w:t>
      </w:r>
    </w:p>
    <w:p>
      <w:pPr>
        <w:pStyle w:val="Heading1"/>
        <w:spacing w:after="160" w:before="280"/>
      </w:pPr>
      <w:r>
        <w:t xml:space="preserve">9. Cross-Standard Mapping</w:t>
      </w:r>
    </w:p>
    <w:p>
      <w:pPr>
        <w:spacing w:after="120"/>
      </w:pPr>
      <w:r>
        <w:t xml:space="preserve">Where the same evidence supports multiple standards, the matrix shows this explicitly. For example, the Internal Audit Procedure (QMS-PRO-007) supports:</w:t>
      </w:r>
    </w:p>
    <w:p>
      <w:pPr>
        <w:pStyle w:val="ListParagraph"/>
        <w:numPr>
          <w:ilvl w:val="0"/>
          <w:numId w:val="2"/>
        </w:numPr>
        <w:spacing w:after="60"/>
      </w:pPr>
      <w:r>
        <w:t xml:space="preserve">ISO 9001 Cl. 9.2</w:t>
      </w:r>
    </w:p>
    <w:p>
      <w:pPr>
        <w:pStyle w:val="ListParagraph"/>
        <w:numPr>
          <w:ilvl w:val="0"/>
          <w:numId w:val="2"/>
        </w:numPr>
        <w:spacing w:after="60"/>
      </w:pPr>
      <w:r>
        <w:t xml:space="preserve">ISO 14001 Cl. 9.2</w:t>
      </w:r>
    </w:p>
    <w:p>
      <w:pPr>
        <w:pStyle w:val="ListParagraph"/>
        <w:numPr>
          <w:ilvl w:val="0"/>
          <w:numId w:val="2"/>
        </w:numPr>
        <w:spacing w:after="60"/>
      </w:pPr>
      <w:r>
        <w:t xml:space="preserve">ISO 45001 Cl. 9.2</w:t>
      </w:r>
    </w:p>
    <w:p>
      <w:pPr>
        <w:spacing w:after="120"/>
      </w:pPr>
      <w:r>
        <w:t xml:space="preserve">The audit programme is a single integrated programme. A single audit engagement may cover all three standards — the matrix shows the single source and the multiple clauses satisfied.</w:t>
      </w:r>
    </w:p>
    <w:p>
      <w:pPr>
        <w:pStyle w:val="Heading1"/>
        <w:spacing w:after="160" w:before="280"/>
      </w:pPr>
      <w:r>
        <w:t xml:space="preserve">10. Use of the Matrix</w:t>
      </w:r>
    </w:p>
    <w:p>
      <w:pPr>
        <w:pStyle w:val="ListParagraph"/>
        <w:numPr>
          <w:ilvl w:val="0"/>
          <w:numId w:val="2"/>
        </w:numPr>
        <w:spacing w:after="60"/>
      </w:pPr>
      <w:r>
        <w:rPr>
          <w:b/>
          <w:bCs/>
        </w:rPr>
        <w:t xml:space="preserve">External certification audits — </w:t>
      </w:r>
      <w:r>
        <w:t xml:space="preserve"> Auditor uses the matrix as the index to evidence.</w:t>
      </w:r>
    </w:p>
    <w:p>
      <w:pPr>
        <w:pStyle w:val="ListParagraph"/>
        <w:numPr>
          <w:ilvl w:val="0"/>
          <w:numId w:val="2"/>
        </w:numPr>
        <w:spacing w:after="60"/>
      </w:pPr>
      <w:r>
        <w:rPr>
          <w:b/>
          <w:bCs/>
        </w:rPr>
        <w:t xml:space="preserve">Internal audits — </w:t>
      </w:r>
      <w:r>
        <w:t xml:space="preserve"> Auditor uses the matrix to plan scope and verify evidence is current.</w:t>
      </w:r>
    </w:p>
    <w:p>
      <w:pPr>
        <w:pStyle w:val="ListParagraph"/>
        <w:numPr>
          <w:ilvl w:val="0"/>
          <w:numId w:val="2"/>
        </w:numPr>
        <w:spacing w:after="60"/>
      </w:pPr>
      <w:r>
        <w:rPr>
          <w:b/>
          <w:bCs/>
        </w:rPr>
        <w:t xml:space="preserve">Onboarding — </w:t>
      </w:r>
      <w:r>
        <w:t xml:space="preserve"> New Quality team members use the matrix to understand QMS architecture.</w:t>
      </w:r>
    </w:p>
    <w:p>
      <w:pPr>
        <w:pStyle w:val="ListParagraph"/>
        <w:numPr>
          <w:ilvl w:val="0"/>
          <w:numId w:val="2"/>
        </w:numPr>
        <w:spacing w:after="60"/>
      </w:pPr>
      <w:r>
        <w:rPr>
          <w:b/>
          <w:bCs/>
        </w:rPr>
        <w:t xml:space="preserve">Customer audits — </w:t>
      </w:r>
      <w:r>
        <w:t xml:space="preserve"> Provides clear, structured response to prequalification or audit requests.</w:t>
      </w:r>
    </w:p>
    <w:p>
      <w:pPr>
        <w:pStyle w:val="ListParagraph"/>
        <w:numPr>
          <w:ilvl w:val="0"/>
          <w:numId w:val="2"/>
        </w:numPr>
        <w:spacing w:after="60"/>
      </w:pPr>
      <w:r>
        <w:rPr>
          <w:b/>
          <w:bCs/>
        </w:rPr>
        <w:t xml:space="preserve">Tender responses — </w:t>
      </w:r>
      <w:r>
        <w:t xml:space="preserve"> Sections referenced or extracted as evidence of compliance.</w:t>
      </w:r>
    </w:p>
    <w:p>
      <w:pPr>
        <w:pStyle w:val="ListParagraph"/>
        <w:numPr>
          <w:ilvl w:val="0"/>
          <w:numId w:val="2"/>
        </w:numPr>
        <w:spacing w:after="60"/>
      </w:pPr>
      <w:r>
        <w:rPr>
          <w:b/>
          <w:bCs/>
        </w:rPr>
        <w:t xml:space="preserve">Standards changes — </w:t>
      </w:r>
      <w:r>
        <w:t xml:space="preserve"> Shows immediately what needs to be updated and where.</w:t>
      </w:r>
    </w:p>
    <w:p>
      <w:pPr>
        <w:pStyle w:val="Heading1"/>
        <w:spacing w:after="160" w:before="280"/>
      </w:pPr>
      <w:r>
        <w:t xml:space="preserve">11.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Compliance Matrix (QMS-REG-MAP-001)</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Live in QMS Portal. Audit trail per QMS-PRO-011.</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Quarterly self-check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Owner sign-off in portal. Retained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Verification records (internal audit)</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internal audit reports. Retained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CARs raised from RED status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7 years per QMS-PRO-009.</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Standards-change impact assessments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while affected standard version in use + 5 years.</w:t>
            </w:r>
          </w:p>
        </w:tc>
      </w:tr>
    </w:tbl>
    <w:p>
      <w:pPr>
        <w:pStyle w:val="Heading1"/>
        <w:spacing w:after="160" w:before="280"/>
      </w:pPr>
      <w:r>
        <w:t xml:space="preserve">12. Related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63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Title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QMS-PRO-007</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Internal Audit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QMS-PRO-008</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Management Review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QMS-PRO-009</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Corrective Action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QMS-PRO-010</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Document and Records Control</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QMS-PRO-011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Electronic Register and Portal Management</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QMS-REG-MAP-001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Clause Compliance Matrix</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IMS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Populate the matrix (QMS-REG-MAP-001)</w:t>
            </w:r>
          </w:p>
          <w:p>
            <w:r>
              <w:rPr>
                <w:color w:val="806000"/>
                <w:sz w:val="20"/>
                <w:szCs w:val="20"/>
              </w:rPr>
              <w:t xml:space="preserve">The starter matrix is provided. Walk each row with the owner and confirm the mapping and evidence.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Assign owners to every clause</w:t>
            </w:r>
          </w:p>
          <w:p>
            <w:r>
              <w:rPr>
                <w:color w:val="806000"/>
                <w:sz w:val="20"/>
                <w:szCs w:val="20"/>
              </w:rPr>
              <w:t xml:space="preserve">Section 8 gives typical assignments. Confirm named individuals are in place.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Decide on multi-standard scope</w:t>
            </w:r>
          </w:p>
          <w:p>
            <w:r>
              <w:rPr>
                <w:color w:val="806000"/>
                <w:sz w:val="20"/>
                <w:szCs w:val="20"/>
              </w:rPr>
              <w:t xml:space="preserve">If [Organisation Name] is ISO 9001 only, hide the 14001 and 45001 columns initially. Keep the structure for future expansion.</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Set up quarterly self-check reminders</w:t>
            </w:r>
          </w:p>
          <w:p>
            <w:r>
              <w:rPr>
                <w:color w:val="806000"/>
                <w:sz w:val="20"/>
                <w:szCs w:val="20"/>
              </w:rPr>
              <w:t xml:space="preserve">Diarise quarterly reminders for each clause owner. Aim for staggered cadence so it's not all in one week.</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Build the auto-CAR-on-RED workflow</w:t>
            </w:r>
          </w:p>
          <w:p>
            <w:r>
              <w:rPr>
                <w:color w:val="806000"/>
                <w:sz w:val="20"/>
                <w:szCs w:val="20"/>
              </w:rPr>
              <w:t xml:space="preserve">Configure the portal so that a clause moving to RED status auto-creates a CAR.</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Test pre-certification preparation</w:t>
            </w:r>
          </w:p>
          <w:p>
            <w:r>
              <w:rPr>
                <w:color w:val="806000"/>
                <w:sz w:val="20"/>
                <w:szCs w:val="20"/>
              </w:rPr>
              <w:t xml:space="preserve">30 days before next external audit, run through the matrix end-to-end. Identify and remediate AMBER and RED rows.</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7. DELETE this guidance section before publishing</w:t>
            </w:r>
          </w:p>
          <w:p>
            <w:r>
              <w:rPr>
                <w:color w:val="806000"/>
                <w:sz w:val="20"/>
                <w:szCs w:val="20"/>
              </w:rPr>
              <w:t xml:space="preserve">Select the entire yellow-bordered block and delete.</w:t>
            </w:r>
          </w:p>
        </w:tc>
      </w:tr>
    </w:tbl>
    <w:p>
      <w:pPr>
        <w:spacing w:after="120"/>
      </w:pPr>
      <w:r>
        <w:t xml:space="preserve">QMS-PRO-012  •  Rev 1.0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QMS-PRO-012  •  Rev 1.0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ISO Clause Mapping and Compliance Procedure</w:t>
          </w:r>
        </w:p>
        <w:p>
          <w:pPr>
            <w:jc w:val="center"/>
          </w:pPr>
          <w:r>
            <w:rPr>
              <w:i/>
              <w:iCs/>
              <w:color w:val="595959"/>
              <w:sz w:val="16"/>
              <w:szCs w:val="16"/>
            </w:rPr>
            <w:t xml:space="preserve">ISO 9001 / 14001 / 45001</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QMS-PRO-012</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