
<file path=[Content_Types].xml><?xml version="1.0" encoding="utf-8"?>
<Types xmlns="http://schemas.openxmlformats.org/package/2006/content-types">
  <Default Extension="bmp" ContentType="image/bmp"/>
  <Default Extension="gif" ContentType="image/gi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docProps/app.xml" ContentType="application/vnd.openxmlformats-officedocument.extended-properties+xml"/>
  <Override PartName="/word/footnotes.xml" ContentType="application/vnd.openxmlformats-officedocument.wordprocessingml.footnotes+xml"/>
  <Override PartName="/word/endnotes.xml" ContentType="application/vnd.openxmlformats-officedocument.wordprocessingml.endnotes+xml"/>
  <Override PartName="/word/settings.xml" ContentType="application/vnd.openxmlformats-officedocument.wordprocessingml.settings+xml"/>
  <Override PartName="/word/comments.xml" ContentType="application/vnd.openxmlformats-officedocument.wordprocessingml.comment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r="http://schemas.openxmlformats.org/officeDocument/2006/relationships" xmlns:mc="http://schemas.openxmlformats.org/markup-compatibility/2006" xmlns:m="http://schemas.openxmlformats.org/officeDocument/2006/math" xmlns:w="http://schemas.openxmlformats.org/wordprocessingml/2006/main" xmlns:w14="http://schemas.microsoft.com/office/word/2010/wordml" xmlns:w15="http://schemas.microsoft.com/office/word/2012/wordml" xmlns:wp="http://schemas.openxmlformats.org/drawingml/2006/wordprocessingDrawing" xmlns:wps="http://schemas.microsoft.com/office/word/2010/wordprocessingShape" mc:Ignorable="w14 w15">
  <w:body>
    <w:p>
      <w:pPr>
        <w:spacing w:after="240" w:before="0"/>
      </w:pPr>
      <w:r>
        <w:rPr>
          <w:b/>
          <w:bCs/>
          <w:sz w:val="36"/>
          <w:szCs w:val="36"/>
        </w:rPr>
        <w:t xml:space="preserve">Management Review Procedure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2200"/>
        <w:gridCol w:w="2000"/>
        <w:gridCol w:w="3160"/>
      </w:tblGrid>
      <w:tr>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Document No.</w:t>
            </w:r>
          </w:p>
        </w:tc>
        <w:tc>
          <w:tcPr>
            <w:tcW w:type="dxa" w:w="22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QMS-PRO-008</w:t>
            </w:r>
          </w:p>
        </w:tc>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Standard</w:t>
            </w:r>
          </w:p>
        </w:tc>
        <w:tc>
          <w:tcPr>
            <w:tcW w:type="dxa" w:w="31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ISO 9001:2015 Cl. 9.3</w:t>
            </w:r>
          </w:p>
        </w:tc>
      </w:tr>
      <w:tr>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Revision</w:t>
            </w:r>
          </w:p>
        </w:tc>
        <w:tc>
          <w:tcPr>
            <w:tcW w:type="dxa" w:w="22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1.0</w:t>
            </w:r>
          </w:p>
        </w:tc>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Issue Date</w:t>
            </w:r>
          </w:p>
        </w:tc>
        <w:tc>
          <w:tcPr>
            <w:tcW w:type="dxa" w:w="31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[Date]</w:t>
            </w:r>
          </w:p>
        </w:tc>
      </w:tr>
      <w:tr>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Review Frequency</w:t>
            </w:r>
          </w:p>
        </w:tc>
        <w:tc>
          <w:tcPr>
            <w:tcW w:type="dxa" w:w="22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Annual</w:t>
            </w:r>
          </w:p>
        </w:tc>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Owner</w:t>
            </w:r>
          </w:p>
        </w:tc>
        <w:tc>
          <w:tcPr>
            <w:tcW w:type="dxa" w:w="31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Quality Manager</w:t>
            </w:r>
          </w:p>
        </w:tc>
      </w:tr>
    </w:tbl>
    <w:p>
      <w:pPr>
        <w:pStyle w:val="Heading1"/>
        <w:spacing w:after="160" w:before="280"/>
      </w:pPr>
      <w:r>
        <w:t xml:space="preserve">1. Purpose</w:t>
      </w:r>
    </w:p>
    <w:p>
      <w:pPr>
        <w:spacing w:after="120"/>
      </w:pPr>
      <w:r>
        <w:t xml:space="preserve">To define how the organisation's top management reviews the Quality Management System at planned intervals to ensure its continuing suitability, adequacy and effectiveness, and its alignment with the strategic direction of the organisation. To ensure that decisions on improvement, change, resources and risks are made based on objective evidence.</w:t>
      </w:r>
    </w:p>
    <w:p>
      <w:pPr>
        <w:pStyle w:val="Heading1"/>
        <w:spacing w:after="160" w:before="280"/>
      </w:pPr>
      <w:r>
        <w:t xml:space="preserve">2. Scope</w:t>
      </w:r>
    </w:p>
    <w:p>
      <w:pPr>
        <w:spacing w:after="120"/>
      </w:pPr>
      <w:r>
        <w:t xml:space="preserve">Applies to all Management Reviews of the QMS, including the annual comprehensive review and any interim reviews triggered by significant events. Includes the preparation of pre-read materials, the conduct of the review meeting, the recording of decisions, and the tracking of actions arising.</w:t>
      </w:r>
    </w:p>
    <w:p>
      <w:pPr>
        <w:pStyle w:val="Heading1"/>
        <w:spacing w:after="160" w:before="280"/>
      </w:pPr>
      <w:r>
        <w:t xml:space="preserve">3.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Management Review</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A formal review of the QMS by top management against defined inputs to determine outputs and decisions.</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Top Management</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The Managing Director and the senior leadership team — Operations Manager, Quality Manager, Procurement Manager, and equivalent senior roles.</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Pre-read pack</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Documentation prepared and distributed before the review meeting that addresses each required input.</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Action register</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The register of decisions and actions arising from Management Reviews, with owners, due dates and status.</w:t>
            </w:r>
          </w:p>
        </w:tc>
      </w:tr>
    </w:tbl>
    <w:p>
      <w:pPr>
        <w:pStyle w:val="Heading1"/>
        <w:spacing w:after="160" w:before="280"/>
      </w:pPr>
      <w:r>
        <w:t xml:space="preserve">4.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Managing Director</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Chairs the Management Review. Owns the conclusions. Approves the action register.</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Quality Manager</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Plans the review. Prepares the pre-read pack. Records minutes. Maintains the action register. Drives follow-up.</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Operations Manager</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Presents operational performance inputs. Owns operational actions arising.</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Other senior leaders</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Present inputs from their area. Contribute to discussion. Own actions in their area.</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Action owners</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Implement assigned actions within target dates. Report progress at interim reviews.</w:t>
            </w:r>
          </w:p>
        </w:tc>
      </w:tr>
    </w:tbl>
    <w:p>
      <w:pPr>
        <w:pStyle w:val="Heading1"/>
        <w:spacing w:after="160" w:before="280"/>
      </w:pPr>
      <w:r>
        <w:t xml:space="preserve">5. Review Frequency</w:t>
      </w:r>
    </w:p>
    <w:p>
      <w:pPr>
        <w:pStyle w:val="ListParagraph"/>
        <w:numPr>
          <w:ilvl w:val="0"/>
          <w:numId w:val="2"/>
        </w:numPr>
        <w:spacing w:after="60"/>
      </w:pPr>
      <w:r>
        <w:rPr>
          <w:b/>
          <w:bCs/>
        </w:rPr>
        <w:t xml:space="preserve">Annual full review — </w:t>
      </w:r>
      <w:r>
        <w:t xml:space="preserve"> Comprehensive review of all required inputs. Mandatory.</w:t>
      </w:r>
    </w:p>
    <w:p>
      <w:pPr>
        <w:pStyle w:val="ListParagraph"/>
        <w:numPr>
          <w:ilvl w:val="0"/>
          <w:numId w:val="2"/>
        </w:numPr>
        <w:spacing w:after="60"/>
      </w:pPr>
      <w:r>
        <w:rPr>
          <w:b/>
          <w:bCs/>
        </w:rPr>
        <w:t xml:space="preserve">Quarterly interim reviews — </w:t>
      </w:r>
      <w:r>
        <w:t xml:space="preserve"> Performance and action-register focused. Pre-empts annual review by identifying issues early.</w:t>
      </w:r>
    </w:p>
    <w:p>
      <w:pPr>
        <w:pStyle w:val="ListParagraph"/>
        <w:numPr>
          <w:ilvl w:val="0"/>
          <w:numId w:val="2"/>
        </w:numPr>
        <w:spacing w:after="60"/>
      </w:pPr>
      <w:r>
        <w:rPr>
          <w:b/>
          <w:bCs/>
        </w:rPr>
        <w:t xml:space="preserve">Extraordinary reviews — </w:t>
      </w:r>
      <w:r>
        <w:t xml:space="preserve"> Triggered by significant change — major customer loss, regulator action, restructure, certification audit findings.</w:t>
      </w:r>
    </w:p>
    <w:p>
      <w:pPr>
        <w:pStyle w:val="Heading1"/>
        <w:spacing w:after="160" w:before="280"/>
      </w:pPr>
      <w:r>
        <w:t xml:space="preserve">6. Review Inputs (Cl. 9.3.2)</w:t>
      </w:r>
    </w:p>
    <w:p>
      <w:pPr>
        <w:spacing w:after="120"/>
      </w:pPr>
      <w:r>
        <w:t xml:space="preserve">The Annual Management Review must address all of the following inputs. Interim reviews address a subset focused on performance, actions and exceptions: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3500"/>
        <w:gridCol w:w="3860"/>
      </w:tblGrid>
      <w:tr>
        <w:trPr>
          <w:tblHeader/>
        </w:trPr>
        <w:tc>
          <w:tcPr>
            <w:tcW w:type="dxa" w:w="2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Input</w:t>
            </w:r>
          </w:p>
        </w:tc>
        <w:tc>
          <w:tcPr>
            <w:tcW w:type="dxa" w:w="35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Presented By</w:t>
            </w:r>
          </w:p>
        </w:tc>
        <w:tc>
          <w:tcPr>
            <w:tcW w:type="dxa" w:w="386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Source</w:t>
            </w:r>
          </w:p>
        </w:tc>
      </w:tr>
      <w:tr>
        <w:tc>
          <w:tcPr>
            <w:tcW w:type="dxa" w:w="2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Status of actions from previous management reviews</w:t>
            </w:r>
          </w:p>
        </w:tc>
        <w:tc>
          <w:tcPr>
            <w:tcW w:type="dxa" w:w="35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Quality Manager</w:t>
            </w:r>
          </w:p>
        </w:tc>
        <w:tc>
          <w:tcPr>
            <w:tcW w:type="dxa" w:w="38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Action register; closure evidence</w:t>
            </w:r>
          </w:p>
        </w:tc>
      </w:tr>
      <w:tr>
        <w:tc>
          <w:tcPr>
            <w:tcW w:type="dxa" w:w="2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Changes in external and internal issues relevant to the QMS</w:t>
            </w:r>
          </w:p>
        </w:tc>
        <w:tc>
          <w:tcPr>
            <w:tcW w:type="dxa" w:w="35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Quality Manager</w:t>
            </w:r>
          </w:p>
        </w:tc>
        <w:tc>
          <w:tcPr>
            <w:tcW w:type="dxa" w:w="38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Context Register (QMS-REG-CTX-001) update</w:t>
            </w:r>
          </w:p>
        </w:tc>
      </w:tr>
      <w:tr>
        <w:tc>
          <w:tcPr>
            <w:tcW w:type="dxa" w:w="2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Performance against quality objectives</w:t>
            </w:r>
          </w:p>
        </w:tc>
        <w:tc>
          <w:tcPr>
            <w:tcW w:type="dxa" w:w="35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Quality Manager</w:t>
            </w:r>
          </w:p>
        </w:tc>
        <w:tc>
          <w:tcPr>
            <w:tcW w:type="dxa" w:w="38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Objectives Register (QMS-REG-OBJ-001); KPI dashboard</w:t>
            </w:r>
          </w:p>
        </w:tc>
      </w:tr>
      <w:tr>
        <w:tc>
          <w:tcPr>
            <w:tcW w:type="dxa" w:w="2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Customer satisfaction and feedback from interested parties</w:t>
            </w:r>
          </w:p>
        </w:tc>
        <w:tc>
          <w:tcPr>
            <w:tcW w:type="dxa" w:w="35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Quality Manager</w:t>
            </w:r>
          </w:p>
        </w:tc>
        <w:tc>
          <w:tcPr>
            <w:tcW w:type="dxa" w:w="38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Complaints register; survey results; NPS</w:t>
            </w:r>
          </w:p>
        </w:tc>
      </w:tr>
      <w:tr>
        <w:tc>
          <w:tcPr>
            <w:tcW w:type="dxa" w:w="2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Process performance and conformity of products and services</w:t>
            </w:r>
          </w:p>
        </w:tc>
        <w:tc>
          <w:tcPr>
            <w:tcW w:type="dxa" w:w="35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Operations Manager</w:t>
            </w:r>
          </w:p>
        </w:tc>
        <w:tc>
          <w:tcPr>
            <w:tcW w:type="dxa" w:w="38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Production reports; first-pass rate; NCR data</w:t>
            </w:r>
          </w:p>
        </w:tc>
      </w:tr>
      <w:tr>
        <w:tc>
          <w:tcPr>
            <w:tcW w:type="dxa" w:w="2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Nonconformities and corrective actions</w:t>
            </w:r>
          </w:p>
        </w:tc>
        <w:tc>
          <w:tcPr>
            <w:tcW w:type="dxa" w:w="35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Quality Manager</w:t>
            </w:r>
          </w:p>
        </w:tc>
        <w:tc>
          <w:tcPr>
            <w:tcW w:type="dxa" w:w="38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NCR / CAR register; trend analysis</w:t>
            </w:r>
          </w:p>
        </w:tc>
      </w:tr>
      <w:tr>
        <w:tc>
          <w:tcPr>
            <w:tcW w:type="dxa" w:w="2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Monitoring and measurement results</w:t>
            </w:r>
          </w:p>
        </w:tc>
        <w:tc>
          <w:tcPr>
            <w:tcW w:type="dxa" w:w="35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Quality Manager</w:t>
            </w:r>
          </w:p>
        </w:tc>
        <w:tc>
          <w:tcPr>
            <w:tcW w:type="dxa" w:w="38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KPI dashboard; calibration register status</w:t>
            </w:r>
          </w:p>
        </w:tc>
      </w:tr>
      <w:tr>
        <w:tc>
          <w:tcPr>
            <w:tcW w:type="dxa" w:w="2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Audit results (internal and external)</w:t>
            </w:r>
          </w:p>
        </w:tc>
        <w:tc>
          <w:tcPr>
            <w:tcW w:type="dxa" w:w="35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Quality Manager</w:t>
            </w:r>
          </w:p>
        </w:tc>
        <w:tc>
          <w:tcPr>
            <w:tcW w:type="dxa" w:w="38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Audit reports; finding closure rates</w:t>
            </w:r>
          </w:p>
        </w:tc>
      </w:tr>
      <w:tr>
        <w:tc>
          <w:tcPr>
            <w:tcW w:type="dxa" w:w="2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Performance of external providers</w:t>
            </w:r>
          </w:p>
        </w:tc>
        <w:tc>
          <w:tcPr>
            <w:tcW w:type="dxa" w:w="35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Quality Manager / Procurement</w:t>
            </w:r>
          </w:p>
        </w:tc>
        <w:tc>
          <w:tcPr>
            <w:tcW w:type="dxa" w:w="38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Supplier Register (QMS-REG-SUP-001) performance data</w:t>
            </w:r>
          </w:p>
        </w:tc>
      </w:tr>
      <w:tr>
        <w:tc>
          <w:tcPr>
            <w:tcW w:type="dxa" w:w="2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Adequacy of resources</w:t>
            </w:r>
          </w:p>
        </w:tc>
        <w:tc>
          <w:tcPr>
            <w:tcW w:type="dxa" w:w="35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Operations Manager / MD</w:t>
            </w:r>
          </w:p>
        </w:tc>
        <w:tc>
          <w:tcPr>
            <w:tcW w:type="dxa" w:w="38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Resource utilisation; training gap analysis; capital plan</w:t>
            </w:r>
          </w:p>
        </w:tc>
      </w:tr>
      <w:tr>
        <w:tc>
          <w:tcPr>
            <w:tcW w:type="dxa" w:w="2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Effectiveness of actions to address risks and opportunities</w:t>
            </w:r>
          </w:p>
        </w:tc>
        <w:tc>
          <w:tcPr>
            <w:tcW w:type="dxa" w:w="35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Quality Manager</w:t>
            </w:r>
          </w:p>
        </w:tc>
        <w:tc>
          <w:tcPr>
            <w:tcW w:type="dxa" w:w="38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Risk Register; treatment plan progress</w:t>
            </w:r>
          </w:p>
        </w:tc>
      </w:tr>
      <w:tr>
        <w:tc>
          <w:tcPr>
            <w:tcW w:type="dxa" w:w="2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Opportunities for improvement</w:t>
            </w:r>
          </w:p>
        </w:tc>
        <w:tc>
          <w:tcPr>
            <w:tcW w:type="dxa" w:w="35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All</w:t>
            </w:r>
          </w:p>
        </w:tc>
        <w:tc>
          <w:tcPr>
            <w:tcW w:type="dxa" w:w="38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OFIs from audits, complaints, suggestions</w:t>
            </w:r>
          </w:p>
        </w:tc>
      </w:tr>
    </w:tbl>
    <w:p>
      <w:pPr>
        <w:pStyle w:val="Heading1"/>
        <w:spacing w:after="160" w:before="280"/>
      </w:pPr>
      <w:r>
        <w:t xml:space="preserve">7. Review Outputs (Cl. 9.3.3)</w:t>
      </w:r>
    </w:p>
    <w:p>
      <w:pPr>
        <w:spacing w:after="120"/>
      </w:pPr>
      <w:r>
        <w:t xml:space="preserve">Each Management Review produces documented decisions 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Output Type</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Examples</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Decisions on opportunities for improvement</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What initiatives will be progressed; resourcing</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Decisions on changes needed to the QMS</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Policy, scope, structure, procedures requiring change</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Resource decisions</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Budget allocations, headcount, equipment, training investments</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Decisions on changes to risks and opportunities</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New risks identified; risks closed; treatment changes</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Updated quality objectives</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New or revised objectives and targets</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Conclusions on QMS suitability, adequacy and effectiveness</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Formal statement</w:t>
            </w:r>
          </w:p>
        </w:tc>
      </w:tr>
    </w:tbl>
    <w:p>
      <w:pPr>
        <w:pStyle w:val="Heading1"/>
        <w:spacing w:after="160" w:before="280"/>
      </w:pPr>
      <w:r>
        <w:t xml:space="preserve">8. Pre-Read Pack</w:t>
      </w:r>
    </w:p>
    <w:p>
      <w:pPr>
        <w:spacing w:after="120"/>
      </w:pPr>
      <w:r>
        <w:t xml:space="preserve">The Quality Manager prepares and distributes the pre-read pack at least 5 business days before the review meeting. The pack contains:</w:t>
      </w:r>
    </w:p>
    <w:p>
      <w:pPr>
        <w:pStyle w:val="ListParagraph"/>
        <w:numPr>
          <w:ilvl w:val="0"/>
          <w:numId w:val="2"/>
        </w:numPr>
        <w:spacing w:after="60"/>
      </w:pPr>
      <w:r>
        <w:t xml:space="preserve">Agenda confirming scope and timing.</w:t>
      </w:r>
    </w:p>
    <w:p>
      <w:pPr>
        <w:pStyle w:val="ListParagraph"/>
        <w:numPr>
          <w:ilvl w:val="0"/>
          <w:numId w:val="2"/>
        </w:numPr>
        <w:spacing w:after="60"/>
      </w:pPr>
      <w:r>
        <w:t xml:space="preserve">Performance dashboard against all KPIs.</w:t>
      </w:r>
    </w:p>
    <w:p>
      <w:pPr>
        <w:pStyle w:val="ListParagraph"/>
        <w:numPr>
          <w:ilvl w:val="0"/>
          <w:numId w:val="2"/>
        </w:numPr>
        <w:spacing w:after="60"/>
      </w:pPr>
      <w:r>
        <w:t xml:space="preserve">Status of actions from previous reviews.</w:t>
      </w:r>
    </w:p>
    <w:p>
      <w:pPr>
        <w:pStyle w:val="ListParagraph"/>
        <w:numPr>
          <w:ilvl w:val="0"/>
          <w:numId w:val="2"/>
        </w:numPr>
        <w:spacing w:after="60"/>
      </w:pPr>
      <w:r>
        <w:t xml:space="preserve">NCR / CAR trend reports.</w:t>
      </w:r>
    </w:p>
    <w:p>
      <w:pPr>
        <w:pStyle w:val="ListParagraph"/>
        <w:numPr>
          <w:ilvl w:val="0"/>
          <w:numId w:val="2"/>
        </w:numPr>
        <w:spacing w:after="60"/>
      </w:pPr>
      <w:r>
        <w:t xml:space="preserve">Audit findings summary.</w:t>
      </w:r>
    </w:p>
    <w:p>
      <w:pPr>
        <w:pStyle w:val="ListParagraph"/>
        <w:numPr>
          <w:ilvl w:val="0"/>
          <w:numId w:val="2"/>
        </w:numPr>
        <w:spacing w:after="60"/>
      </w:pPr>
      <w:r>
        <w:t xml:space="preserve">Customer satisfaction data.</w:t>
      </w:r>
    </w:p>
    <w:p>
      <w:pPr>
        <w:pStyle w:val="ListParagraph"/>
        <w:numPr>
          <w:ilvl w:val="0"/>
          <w:numId w:val="2"/>
        </w:numPr>
        <w:spacing w:after="60"/>
      </w:pPr>
      <w:r>
        <w:t xml:space="preserve">Supplier performance summary.</w:t>
      </w:r>
    </w:p>
    <w:p>
      <w:pPr>
        <w:pStyle w:val="ListParagraph"/>
        <w:numPr>
          <w:ilvl w:val="0"/>
          <w:numId w:val="2"/>
        </w:numPr>
        <w:spacing w:after="60"/>
      </w:pPr>
      <w:r>
        <w:t xml:space="preserve">Risk Register update.</w:t>
      </w:r>
    </w:p>
    <w:p>
      <w:pPr>
        <w:pStyle w:val="ListParagraph"/>
        <w:numPr>
          <w:ilvl w:val="0"/>
          <w:numId w:val="2"/>
        </w:numPr>
        <w:spacing w:after="60"/>
      </w:pPr>
      <w:r>
        <w:t xml:space="preserve">Any exception reports or matters specifically tabled.</w:t>
      </w:r>
    </w:p>
    <w:p>
      <w:pPr>
        <w:spacing w:after="120"/>
      </w:pPr>
      <w:r>
        <w:t xml:space="preserve">Distribution is to all senior leaders. Attendees are expected to read before the meeting.</w:t>
      </w:r>
    </w:p>
    <w:p>
      <w:pPr>
        <w:pStyle w:val="Heading1"/>
        <w:spacing w:after="160" w:before="280"/>
      </w:pPr>
      <w:r>
        <w:t xml:space="preserve">9. Conduct of the Review</w:t>
      </w:r>
    </w:p>
    <w:p>
      <w:pPr>
        <w:pStyle w:val="ListParagraph"/>
        <w:numPr>
          <w:ilvl w:val="0"/>
          <w:numId w:val="2"/>
        </w:numPr>
        <w:spacing w:after="60"/>
      </w:pPr>
      <w:r>
        <w:t xml:space="preserve">Confirm attendees and quorum (MD + Quality Manager mandatory; senior leaders strongly preferred).</w:t>
      </w:r>
    </w:p>
    <w:p>
      <w:pPr>
        <w:pStyle w:val="ListParagraph"/>
        <w:numPr>
          <w:ilvl w:val="0"/>
          <w:numId w:val="2"/>
        </w:numPr>
        <w:spacing w:after="60"/>
      </w:pPr>
      <w:r>
        <w:t xml:space="preserve">Confirm scope of the review (full annual or focused interim).</w:t>
      </w:r>
    </w:p>
    <w:p>
      <w:pPr>
        <w:pStyle w:val="ListParagraph"/>
        <w:numPr>
          <w:ilvl w:val="0"/>
          <w:numId w:val="2"/>
        </w:numPr>
        <w:spacing w:after="60"/>
      </w:pPr>
      <w:r>
        <w:t xml:space="preserve">Review status of actions from previous review.</w:t>
      </w:r>
    </w:p>
    <w:p>
      <w:pPr>
        <w:pStyle w:val="ListParagraph"/>
        <w:numPr>
          <w:ilvl w:val="0"/>
          <w:numId w:val="2"/>
        </w:numPr>
        <w:spacing w:after="60"/>
      </w:pPr>
      <w:r>
        <w:t xml:space="preserve">Address each input in turn. Discussion based on the pre-read pack — no extended presentations.</w:t>
      </w:r>
    </w:p>
    <w:p>
      <w:pPr>
        <w:pStyle w:val="ListParagraph"/>
        <w:numPr>
          <w:ilvl w:val="0"/>
          <w:numId w:val="2"/>
        </w:numPr>
        <w:spacing w:after="60"/>
      </w:pPr>
      <w:r>
        <w:t xml:space="preserve">Develop and document decisions and actions for each input area.</w:t>
      </w:r>
    </w:p>
    <w:p>
      <w:pPr>
        <w:pStyle w:val="ListParagraph"/>
        <w:numPr>
          <w:ilvl w:val="0"/>
          <w:numId w:val="2"/>
        </w:numPr>
        <w:spacing w:after="60"/>
      </w:pPr>
      <w:r>
        <w:t xml:space="preserve">Confirm conclusion on QMS suitability, adequacy and effectiveness.</w:t>
      </w:r>
    </w:p>
    <w:p>
      <w:pPr>
        <w:pStyle w:val="ListParagraph"/>
        <w:numPr>
          <w:ilvl w:val="0"/>
          <w:numId w:val="2"/>
        </w:numPr>
        <w:spacing w:after="60"/>
      </w:pPr>
      <w:r>
        <w:t xml:space="preserve">Assign action owners and due dates.</w:t>
      </w:r>
    </w:p>
    <w:p>
      <w:pPr>
        <w:pStyle w:val="ListParagraph"/>
        <w:numPr>
          <w:ilvl w:val="0"/>
          <w:numId w:val="2"/>
        </w:numPr>
        <w:spacing w:after="60"/>
      </w:pPr>
      <w:r>
        <w:t xml:space="preserve">Close meeting with summary of decisions and next review date.</w:t>
      </w:r>
    </w:p>
    <w:p>
      <w:pPr>
        <w:pStyle w:val="Heading1"/>
        <w:spacing w:after="160" w:before="280"/>
      </w:pPr>
      <w:r>
        <w:t xml:space="preserve">10. Minutes and Action Register</w:t>
      </w:r>
    </w:p>
    <w:p>
      <w:pPr>
        <w:spacing w:after="120"/>
      </w:pPr>
      <w:r>
        <w:t xml:space="preserve">Within 5 business days of the meeting, the Quality Manager issues:</w:t>
      </w:r>
    </w:p>
    <w:p>
      <w:pPr>
        <w:pStyle w:val="ListParagraph"/>
        <w:numPr>
          <w:ilvl w:val="0"/>
          <w:numId w:val="2"/>
        </w:numPr>
        <w:spacing w:after="60"/>
      </w:pPr>
      <w:r>
        <w:t xml:space="preserve">Minutes recording attendance, key discussion points, and conclusions for each input.</w:t>
      </w:r>
    </w:p>
    <w:p>
      <w:pPr>
        <w:pStyle w:val="ListParagraph"/>
        <w:numPr>
          <w:ilvl w:val="0"/>
          <w:numId w:val="2"/>
        </w:numPr>
        <w:spacing w:after="60"/>
      </w:pPr>
      <w:r>
        <w:t xml:space="preserve">Action Register listing each action, owner, due date, priority and verification method.</w:t>
      </w:r>
    </w:p>
    <w:p>
      <w:pPr>
        <w:pStyle w:val="ListParagraph"/>
        <w:numPr>
          <w:ilvl w:val="0"/>
          <w:numId w:val="2"/>
        </w:numPr>
        <w:spacing w:after="60"/>
      </w:pPr>
      <w:r>
        <w:t xml:space="preserve">Updates to the Quality Objectives Register where targets or objectives changed.</w:t>
      </w:r>
    </w:p>
    <w:p>
      <w:pPr>
        <w:pStyle w:val="ListParagraph"/>
        <w:numPr>
          <w:ilvl w:val="0"/>
          <w:numId w:val="2"/>
        </w:numPr>
        <w:spacing w:after="60"/>
      </w:pPr>
      <w:r>
        <w:t xml:space="preserve">Updates to the Risk Register where risks changed.</w:t>
      </w:r>
    </w:p>
    <w:p>
      <w:pPr>
        <w:spacing w:after="120"/>
      </w:pPr>
      <w:r>
        <w:t xml:space="preserve">Minutes are signed by the MD and circulated to senior leaders. The Action Register is published on [QMS Portal] and reviewed at the next interim review.</w:t>
      </w:r>
    </w:p>
    <w:p>
      <w:pPr>
        <w:pStyle w:val="Heading1"/>
        <w:spacing w:after="160" w:before="280"/>
      </w:pPr>
      <w:r>
        <w:t xml:space="preserve">11. Follow-Up and Action Closure</w:t>
      </w:r>
    </w:p>
    <w:p>
      <w:pPr>
        <w:pStyle w:val="ListParagraph"/>
        <w:numPr>
          <w:ilvl w:val="0"/>
          <w:numId w:val="2"/>
        </w:numPr>
        <w:spacing w:after="60"/>
      </w:pPr>
      <w:r>
        <w:t xml:space="preserve">Each action owner is responsible for delivery by the agreed date.</w:t>
      </w:r>
    </w:p>
    <w:p>
      <w:pPr>
        <w:pStyle w:val="ListParagraph"/>
        <w:numPr>
          <w:ilvl w:val="0"/>
          <w:numId w:val="2"/>
        </w:numPr>
        <w:spacing w:after="60"/>
      </w:pPr>
      <w:r>
        <w:t xml:space="preserve">Interim reviews check action progress and address slippage.</w:t>
      </w:r>
    </w:p>
    <w:p>
      <w:pPr>
        <w:pStyle w:val="ListParagraph"/>
        <w:numPr>
          <w:ilvl w:val="0"/>
          <w:numId w:val="2"/>
        </w:numPr>
        <w:spacing w:after="60"/>
      </w:pPr>
      <w:r>
        <w:t xml:space="preserve">Closure requires evidence — completed deliverable, signed implementation, verification.</w:t>
      </w:r>
    </w:p>
    <w:p>
      <w:pPr>
        <w:pStyle w:val="ListParagraph"/>
        <w:numPr>
          <w:ilvl w:val="0"/>
          <w:numId w:val="2"/>
        </w:numPr>
        <w:spacing w:after="60"/>
      </w:pPr>
      <w:r>
        <w:t xml:space="preserve">Quality Manager verifies closure before marking actions complete.</w:t>
      </w:r>
    </w:p>
    <w:p>
      <w:pPr>
        <w:pStyle w:val="Heading1"/>
        <w:spacing w:after="160" w:before="280"/>
      </w:pPr>
      <w:r>
        <w:t xml:space="preserve">12. Records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Pre-read packs</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Retained 7 years.</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Meeting minutes (QMS-FRM-MGR-001)</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Retained 7 years.</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Action Register</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Maintained current; historical actions retained 7 years.</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Updated Objectives, Risk and other Registers</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Per their own retention periods.</w:t>
            </w:r>
          </w:p>
        </w:tc>
      </w:tr>
      <w:tr>
        <w:tc>
          <w:tcPr>
            <w:tcW w:type="dxa" w:w="26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Attendance records</w:t>
            </w:r>
          </w:p>
        </w:tc>
        <w:tc>
          <w:tcPr>
            <w:tcW w:type="dxa" w:w="67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With minutes.</w:t>
            </w:r>
          </w:p>
        </w:tc>
      </w:tr>
    </w:tbl>
    <w:p>
      <w:pPr>
        <w:pStyle w:val="Heading1"/>
        <w:spacing w:after="160" w:before="280"/>
      </w:pPr>
      <w:r>
        <w:t xml:space="preserve">13. Related Documents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rPr>
          <w:tblHeader/>
        </w:trPr>
        <w:tc>
          <w:tcPr>
            <w:tcW w:type="dxa" w:w="300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Document No.</w:t>
            </w:r>
          </w:p>
        </w:tc>
        <w:tc>
          <w:tcPr>
            <w:tcW w:type="dxa" w:w="636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Title</w:t>
            </w:r>
          </w:p>
        </w:tc>
      </w:tr>
      <w:tr>
        <w:tc>
          <w:tcPr>
            <w:tcW w:type="dxa" w:w="3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QMS-PRO-007</w:t>
            </w:r>
          </w:p>
        </w:tc>
        <w:tc>
          <w:tcPr>
            <w:tcW w:type="dxa" w:w="63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Internal Audit Procedure</w:t>
            </w:r>
          </w:p>
        </w:tc>
      </w:tr>
      <w:tr>
        <w:tc>
          <w:tcPr>
            <w:tcW w:type="dxa" w:w="3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QMS-PRO-009</w:t>
            </w:r>
          </w:p>
        </w:tc>
        <w:tc>
          <w:tcPr>
            <w:tcW w:type="dxa" w:w="63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Corrective Action Procedure</w:t>
            </w:r>
          </w:p>
        </w:tc>
      </w:tr>
      <w:tr>
        <w:tc>
          <w:tcPr>
            <w:tcW w:type="dxa" w:w="3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QMS-FRM-MGR-001</w:t>
            </w:r>
          </w:p>
        </w:tc>
        <w:tc>
          <w:tcPr>
            <w:tcW w:type="dxa" w:w="63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Management Review Record</w:t>
            </w:r>
          </w:p>
        </w:tc>
      </w:tr>
      <w:tr>
        <w:tc>
          <w:tcPr>
            <w:tcW w:type="dxa" w:w="3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QMS-REG-OBJ-001</w:t>
            </w:r>
          </w:p>
        </w:tc>
        <w:tc>
          <w:tcPr>
            <w:tcW w:type="dxa" w:w="63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Quality Objectives Register</w:t>
            </w:r>
          </w:p>
        </w:tc>
      </w:tr>
      <w:tr>
        <w:tc>
          <w:tcPr>
            <w:tcW w:type="dxa" w:w="300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QMS-REG-CTX-001</w:t>
            </w:r>
          </w:p>
        </w:tc>
        <w:tc>
          <w:tcPr>
            <w:tcW w:type="dxa" w:w="636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Context and Risk Register</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Role</w:t>
            </w:r>
          </w:p>
        </w:tc>
        <w:tc>
          <w:tcPr>
            <w:tcW w:type="dxa" w:w="234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Name</w:t>
            </w:r>
          </w:p>
        </w:tc>
        <w:tc>
          <w:tcPr>
            <w:tcW w:type="dxa" w:w="234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Signature</w:t>
            </w:r>
          </w:p>
        </w:tc>
        <w:tc>
          <w:tcPr>
            <w:tcW w:type="dxa" w:w="2340"/>
            <w:tcBorders>
              <w:top w:val="single" w:color="BFBFBF" w:sz="4"/>
              <w:left w:val="single" w:color="BFBFBF" w:sz="4"/>
              <w:bottom w:val="single" w:color="BFBFBF" w:sz="4"/>
              <w:right w:val="single" w:color="BFBFBF" w:sz="4"/>
            </w:tcBorders>
            <w:shd w:fill="F2F2F2" w:val="clear"/>
            <w:tcMar>
              <w:top w:type="dxa" w:w="80"/>
              <w:left w:type="dxa" w:w="120"/>
              <w:bottom w:type="dxa" w:w="80"/>
              <w:right w:type="dxa" w:w="120"/>
            </w:tcMar>
            <w:vAlign w:val="center"/>
          </w:tcPr>
          <w:p>
            <w:r>
              <w:rPr>
                <w:b/>
                <w:bCs/>
              </w:rPr>
              <w:t xml:space="preserve">Date</w:t>
            </w:r>
          </w:p>
        </w:tc>
      </w:tr>
      <w:tr>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Quality Manager</w:t>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r>
      <w:tr>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Managing Director</w:t>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c>
          <w:tcPr>
            <w:tcW w:type="dxa" w:w="2340"/>
            <w:tcBorders>
              <w:top w:val="single" w:color="BFBFBF" w:sz="4"/>
              <w:left w:val="single" w:color="BFBFBF" w:sz="4"/>
              <w:bottom w:val="single" w:color="BFBFBF" w:sz="4"/>
              <w:right w:val="single" w:color="BFBFBF" w:sz="4"/>
            </w:tcBorders>
            <w:tcMar>
              <w:top w:type="dxa" w:w="80"/>
              <w:left w:type="dxa" w:w="120"/>
              <w:bottom w:type="dxa" w:w="80"/>
              <w:right w:type="dxa" w:w="120"/>
            </w:tcMar>
            <w:vAlign w:val="center"/>
          </w:tcPr>
          <w:p>
            <w:r>
              <w:t xml:space="preserve"/>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F8F00" w:sz="12"/>
              <w:left w:val="single" w:color="BF8F00" w:sz="12"/>
              <w:bottom w:val="single" w:color="BF8F00" w:sz="4"/>
              <w:right w:val="single" w:color="BF8F00" w:sz="12"/>
            </w:tcBorders>
            <w:shd w:fill="BF8F00" w:val="clear"/>
            <w:tcMar>
              <w:top w:type="dxa" w:w="120"/>
              <w:left w:type="dxa" w:w="200"/>
              <w:bottom w:type="dxa" w:w="120"/>
              <w:right w:type="dxa" w:w="200"/>
            </w:tcMar>
          </w:tcPr>
          <w:p>
            <w:r>
              <w:rPr>
                <w:b/>
                <w:bCs/>
                <w:color w:val="FFFFFF"/>
                <w:sz w:val="22"/>
                <w:szCs w:val="22"/>
              </w:rPr>
              <w:t xml:space="preserve">✎  HOW TO COMPLETE THIS DOCUMENT  —  DELETE THIS SECTION BEFORE PUBLISHING</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i/>
                <w:iCs/>
                <w:color w:val="806000"/>
                <w:sz w:val="20"/>
                <w:szCs w:val="20"/>
              </w:rPr>
              <w:t xml:space="preserve">Use these notes to tailor, complete and finalise this document before publication. Delete this section once done.</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1. Set the annual review date and recurring interim dates</w:t>
            </w:r>
          </w:p>
          <w:p>
            <w:r>
              <w:rPr>
                <w:color w:val="806000"/>
                <w:sz w:val="20"/>
                <w:szCs w:val="20"/>
              </w:rPr>
              <w:t xml:space="preserve">Diarise. The annual review typically aligns with strategic planning. Interims are typically end-of-quarter.</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2. Build the pre-read pack template</w:t>
            </w:r>
          </w:p>
          <w:p>
            <w:r>
              <w:rPr>
                <w:color w:val="806000"/>
                <w:sz w:val="20"/>
                <w:szCs w:val="20"/>
              </w:rPr>
              <w:t xml:space="preserve">Section 8 lists what it contains. Build a standard structure so each review draws from consistent inputs.</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3. Confirm KPI data sources</w:t>
            </w:r>
          </w:p>
          <w:p>
            <w:r>
              <w:rPr>
                <w:color w:val="806000"/>
                <w:sz w:val="20"/>
                <w:szCs w:val="20"/>
              </w:rPr>
              <w:t xml:space="preserve">Every KPI in the dashboard needs a reliable data source. Confirm before the first review.</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4. Train senior leaders on their input responsibility</w:t>
            </w:r>
          </w:p>
          <w:p>
            <w:r>
              <w:rPr>
                <w:color w:val="806000"/>
                <w:sz w:val="20"/>
                <w:szCs w:val="20"/>
              </w:rPr>
              <w:t xml:space="preserve">Senior leaders should know what they're expected to present. Schedule a briefing.</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5. Build the Action Register format</w:t>
            </w:r>
          </w:p>
          <w:p>
            <w:r>
              <w:rPr>
                <w:color w:val="806000"/>
                <w:sz w:val="20"/>
                <w:szCs w:val="20"/>
              </w:rPr>
              <w:t xml:space="preserve">Action / Owner / Due / Priority / Status / Evidence. Make it visible — on the portal, not in a spreadsheet that nobody opens.</w:t>
            </w:r>
          </w:p>
        </w:tc>
      </w:tr>
      <w:tr>
        <w:tc>
          <w:tcPr>
            <w:tcW w:type="dxa" w:w="9360"/>
            <w:tcBorders>
              <w:top w:val="none"/>
              <w:left w:val="single" w:color="BF8F00" w:sz="12"/>
              <w:bottom w:val="single" w:color="BF8F00" w:sz="2"/>
              <w:right w:val="single" w:color="BF8F00" w:sz="12"/>
            </w:tcBorders>
            <w:shd w:fill="FFF2CC" w:val="clear"/>
            <w:tcMar>
              <w:top w:type="dxa" w:w="120"/>
              <w:left w:type="dxa" w:w="200"/>
              <w:bottom w:type="dxa" w:w="120"/>
              <w:right w:type="dxa" w:w="200"/>
            </w:tcMar>
          </w:tcPr>
          <w:p>
            <w:r>
              <w:rPr>
                <w:b/>
                <w:bCs/>
                <w:color w:val="806000"/>
                <w:sz w:val="20"/>
                <w:szCs w:val="20"/>
              </w:rPr>
              <w:t xml:space="preserve">6. Schedule the first review and prepare</w:t>
            </w:r>
          </w:p>
          <w:p>
            <w:r>
              <w:rPr>
                <w:color w:val="806000"/>
                <w:sz w:val="20"/>
                <w:szCs w:val="20"/>
              </w:rPr>
              <w:t xml:space="preserve">Without a scheduled first review, this procedure is theoretical. Set a date, prepare the pack, hold the meeting.</w:t>
            </w:r>
          </w:p>
        </w:tc>
      </w:tr>
      <w:tr>
        <w:tc>
          <w:tcPr>
            <w:tcW w:type="dxa" w:w="9360"/>
            <w:tcBorders>
              <w:top w:val="none"/>
              <w:left w:val="single" w:color="BF8F00" w:sz="12"/>
              <w:bottom w:val="single" w:color="BF8F00" w:sz="12"/>
              <w:right w:val="single" w:color="BF8F00" w:sz="12"/>
            </w:tcBorders>
            <w:shd w:fill="FFF2CC" w:val="clear"/>
            <w:tcMar>
              <w:top w:type="dxa" w:w="120"/>
              <w:left w:type="dxa" w:w="200"/>
              <w:bottom w:type="dxa" w:w="120"/>
              <w:right w:type="dxa" w:w="200"/>
            </w:tcMar>
          </w:tcPr>
          <w:p>
            <w:r>
              <w:rPr>
                <w:b/>
                <w:bCs/>
                <w:color w:val="806000"/>
                <w:sz w:val="20"/>
                <w:szCs w:val="20"/>
              </w:rPr>
              <w:t xml:space="preserve">7. DELETE this guidance section before publishing</w:t>
            </w:r>
          </w:p>
          <w:p>
            <w:r>
              <w:rPr>
                <w:color w:val="806000"/>
                <w:sz w:val="20"/>
                <w:szCs w:val="20"/>
              </w:rPr>
              <w:t xml:space="preserve">Select the entire yellow-bordered block and delete.</w:t>
            </w:r>
          </w:p>
        </w:tc>
      </w:tr>
    </w:tbl>
    <w:p>
      <w:pPr>
        <w:spacing w:after="120"/>
      </w:pPr>
      <w:r>
        <w:t xml:space="preserve">QMS-PRO-008  •  Rev 1.0CONTROLLED DOCUMENT — verify currency before usePage  of</w:t>
      </w:r>
    </w:p>
    <w:sectPr>
      <w:headerReference w:type="default" r:id="rId7"/>
      <w:footerReference w:type="default" r:id="rId8"/>
      <w:pgSz w:w="11906" w:h="16838"/>
      <w:pgMar w:top="1700" w:right="1440" w:bottom="1440" w:left="1440" w:header="720" w:footer="72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r="http://schemas.openxmlformats.org/officeDocument/2006/relationships" xmlns:mc="http://schemas.openxmlformats.org/markup-compatibility/2006" xmlns:m="http://schemas.openxmlformats.org/officeDocument/2006/math" xmlns:w="http://schemas.openxmlformats.org/wordprocessingml/2006/main" xmlns:w14="http://schemas.microsoft.com/office/word/2010/wordml" xmlns:w15="http://schemas.microsoft.com/office/word/2012/wordml" xmlns:wp="http://schemas.openxmlformats.org/drawingml/2006/wordprocessingDrawing" xmlns:wps="http://schemas.microsoft.com/office/word/2010/wordprocessingShape" mc:Ignorable="w14 w15">
  <w:p>
    <w:pPr>
      <w:pBdr>
        <w:top w:val="single" w:color="BFBFBF" w:sz="4" w:space="4"/>
      </w:pBdr>
      <w:tabs>
        <w:tab w:val="center" w:pos="4680"/>
        <w:tab w:val="right" w:pos="9360"/>
      </w:tabs>
    </w:pPr>
    <w:r>
      <w:rPr>
        <w:color w:val="595959"/>
        <w:sz w:val="16"/>
        <w:szCs w:val="16"/>
      </w:rPr>
      <w:t xml:space="preserve">QMS-PRO-008  •  Rev 1.0</w:t>
    </w:r>
    <w:r>
      <w:rPr>
        <w:sz w:val="16"/>
        <w:szCs w:val="16"/>
      </w:rPr>
      <w:t>	</w:t>
    </w:r>
    <w:r>
      <w:rPr>
        <w:i/>
        <w:iCs/>
        <w:color w:val="595959"/>
        <w:sz w:val="16"/>
        <w:szCs w:val="16"/>
      </w:rPr>
      <w:t xml:space="preserve">CONTROLLED DOCUMENT — verify currency before use</w:t>
    </w:r>
    <w:r>
      <w:rPr>
        <w:sz w:val="16"/>
        <w:szCs w:val="16"/>
      </w:rPr>
      <w:t>	</w:t>
    </w:r>
    <w:r>
      <w:rPr>
        <w:color w:val="595959"/>
        <w:sz w:val="16"/>
        <w:szCs w:val="16"/>
      </w:rPr>
      <w:t xml:space="preserve">Page </w:t>
    </w:r>
    <w:r>
      <w:rPr>
        <w:color w:val="595959"/>
        <w:sz w:val="16"/>
        <w:szCs w:val="16"/>
      </w:rPr>
      <w:fldChar w:fldCharType="begin"/>
      <w:instrText xml:space="preserve">PAGE</w:instrText>
      <w:fldChar w:fldCharType="separate"/>
      <w:fldChar w:fldCharType="end"/>
    </w:r>
    <w:r>
      <w:rPr>
        <w:color w:val="595959"/>
        <w:sz w:val="16"/>
        <w:szCs w:val="16"/>
      </w:rPr>
      <w:t xml:space="preserve"> of </w:t>
    </w:r>
    <w:r>
      <w:rPr>
        <w:color w:val="59595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r="http://schemas.openxmlformats.org/officeDocument/2006/relationships" xmlns:mc="http://schemas.openxmlformats.org/markup-compatibility/2006" xmlns:m="http://schemas.openxmlformats.org/officeDocument/2006/math" xmlns:w="http://schemas.openxmlformats.org/wordprocessingml/2006/main" xmlns:w14="http://schemas.microsoft.com/office/word/2010/wordml" xmlns:w15="http://schemas.microsoft.com/office/word/2012/wordml" xmlns:wp="http://schemas.openxmlformats.org/drawingml/2006/wordprocessingDrawing" xmlns:wps="http://schemas.microsoft.com/office/word/2010/wordprocessingShape" mc:Ignorable="w14 w15">
  <w:tbl>
    <w:tblPr>
      <w:tblW w:type="dxa" w:w="9360"/>
      <w:tblBorders>
        <w:top w:val="none" w:sz="0"/>
        <w:left w:val="none" w:sz="0"/>
        <w:bottom w:val="single" w:color="000000" w:sz="8"/>
        <w:right w:val="none" w:sz="0"/>
        <w:insideH w:val="none" w:sz="0"/>
        <w:insideV w:val="none" w:sz="0"/>
      </w:tblBorders>
    </w:tblPr>
    <w:tblGrid>
      <w:gridCol w:w="2400"/>
      <w:gridCol w:w="5160"/>
      <w:gridCol w:w="1800"/>
    </w:tblGrid>
    <w:tr>
      <w:tc>
        <w:tcPr>
          <w:tcW w:type="dxa" w:w="2400"/>
          <w:tcBorders>
            <w:top w:val="none" w:sz="0"/>
            <w:left w:val="none" w:sz="0"/>
            <w:bottom w:val="single" w:color="000000" w:sz="8"/>
            <w:right w:val="none" w:sz="0"/>
          </w:tcBorders>
          <w:tcMar>
            <w:top w:type="dxa" w:w="60"/>
            <w:left w:type="dxa" w:w="80"/>
            <w:bottom w:type="dxa" w:w="80"/>
            <w:right w:type="dxa" w:w="80"/>
          </w:tcMar>
          <w:vAlign w:val="center"/>
        </w:tcPr>
        <w:p>
          <w:r>
            <w:rPr>
              <w:b/>
              <w:bCs/>
              <w:sz w:val="22"/>
              <w:szCs w:val="22"/>
            </w:rPr>
            <w:t xml:space="preserve">[ORGANISATION NAME]</w:t>
          </w:r>
        </w:p>
      </w:tc>
      <w:tc>
        <w:tcPr>
          <w:tcW w:type="dxa" w:w="5160"/>
          <w:tcBorders>
            <w:top w:val="none" w:sz="0"/>
            <w:left w:val="none" w:sz="0"/>
            <w:bottom w:val="single" w:color="000000" w:sz="8"/>
            <w:right w:val="none" w:sz="0"/>
          </w:tcBorders>
          <w:tcMar>
            <w:top w:type="dxa" w:w="60"/>
            <w:left w:type="dxa" w:w="80"/>
            <w:bottom w:type="dxa" w:w="80"/>
            <w:right w:type="dxa" w:w="80"/>
          </w:tcMar>
          <w:vAlign w:val="center"/>
        </w:tcPr>
        <w:p>
          <w:pPr>
            <w:spacing w:after="20"/>
            <w:jc w:val="center"/>
          </w:pPr>
          <w:r>
            <w:rPr>
              <w:b/>
              <w:bCs/>
              <w:sz w:val="20"/>
              <w:szCs w:val="20"/>
            </w:rPr>
            <w:t xml:space="preserve">Management Review Procedure</w:t>
          </w:r>
        </w:p>
        <w:p>
          <w:pPr>
            <w:jc w:val="center"/>
          </w:pPr>
          <w:r>
            <w:rPr>
              <w:i/>
              <w:iCs/>
              <w:color w:val="595959"/>
              <w:sz w:val="16"/>
              <w:szCs w:val="16"/>
            </w:rPr>
            <w:t xml:space="preserve">ISO 9001:2015 — Cl. 9.3</w:t>
          </w:r>
        </w:p>
      </w:tc>
      <w:tc>
        <w:tcPr>
          <w:tcW w:type="dxa" w:w="1800"/>
          <w:tcBorders>
            <w:top w:val="none" w:sz="0"/>
            <w:left w:val="none" w:sz="0"/>
            <w:bottom w:val="single" w:color="000000" w:sz="8"/>
            <w:right w:val="none" w:sz="0"/>
          </w:tcBorders>
          <w:tcMar>
            <w:top w:type="dxa" w:w="60"/>
            <w:left w:type="dxa" w:w="80"/>
            <w:bottom w:type="dxa" w:w="80"/>
            <w:right w:type="dxa" w:w="80"/>
          </w:tcMar>
          <w:vAlign w:val="center"/>
        </w:tcPr>
        <w:p>
          <w:pPr>
            <w:jc w:val="right"/>
          </w:pPr>
          <w:r>
            <w:rPr>
              <w:b/>
              <w:bCs/>
              <w:sz w:val="18"/>
              <w:szCs w:val="18"/>
            </w:rPr>
            <w:t xml:space="preserve">QMS-PRO-008</w:t>
          </w:r>
        </w:p>
      </w:tc>
    </w:tr>
  </w:tbl>
  <w:p>
    <w:pPr>
      <w:spacing w:after="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lvl w:ilvl="1" w15:tentative="1">
      <w:start w:val="1"/>
      <w:numFmt w:val="bullet"/>
      <w:lvlText w:val="○"/>
      <w:lvlJc w:val="left"/>
      <w:pPr>
        <w:ind w:left="1080" w:hanging="270"/>
      </w:pPr>
    </w:lvl>
  </w:abstractNum>
  <w:abstractNum w:abstractNumId="3" w15:restartNumberingAfterBreak="0">
    <w:multiLevelType w:val="hybridMultilevel"/>
    <w:lvl w:ilvl="0" w15:tentative="1">
      <w:start w:val="1"/>
      <w:numFmt w:val="decimal"/>
      <w:lvlText w:val="%1."/>
      <w:lvlJc w:val="left"/>
      <w:pPr>
        <w:ind w:left="540" w:hanging="360"/>
      </w:pPr>
    </w:lvl>
    <w:lvl w:ilvl="1" w15:tentative="1">
      <w:start w:val="1"/>
      <w:numFmt w:val="lowerLetter"/>
      <w:lvlText w:val="%2."/>
      <w:lvlJc w:val="left"/>
      <w:pPr>
        <w:ind w:left="10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80"/>
      <w:outlineLvl w:val="0"/>
    </w:pPr>
    <w:rPr>
      <w:rFonts w:ascii="Calibri" w:cs="Calibri" w:eastAsia="Calibri" w:hAnsi="Calibri"/>
      <w:b/>
      <w:bCs/>
      <w:color w:val="000000"/>
      <w:sz w:val="30"/>
      <w:szCs w:val="30"/>
    </w:rPr>
  </w:style>
  <w:style w:type="paragraph" w:styleId="Heading2">
    <w:name w:val="Heading 2"/>
    <w:basedOn w:val="Normal"/>
    <w:next w:val="Normal"/>
    <w:qFormat/>
    <w:pPr>
      <w:spacing w:after="100" w:before="200"/>
      <w:outlineLvl w:val="1"/>
    </w:pPr>
    <w:rPr>
      <w:rFonts w:ascii="Calibri" w:cs="Calibri" w:eastAsia="Calibri" w:hAnsi="Calibri"/>
      <w:b/>
      <w:bCs/>
      <w:color w:val="000000"/>
      <w:sz w:val="24"/>
      <w:szCs w:val="24"/>
    </w:rPr>
  </w:style>
  <w:style w:type="paragraph" w:styleId="Heading3">
    <w:name w:val="Heading 3"/>
    <w:basedOn w:val="Normal"/>
    <w:next w:val="Normal"/>
    <w:qFormat/>
    <w:pPr>
      <w:spacing w:after="80" w:before="160"/>
      <w:outlineLvl w:val="2"/>
    </w:pPr>
    <w:rPr>
      <w:rFonts w:ascii="Calibri" w:cs="Calibri" w:eastAsia="Calibri" w:hAnsi="Calibri"/>
      <w:b/>
      <w:bCs/>
      <w:color w:val="000000"/>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8" Type="http://schemas.openxmlformats.org/officeDocument/2006/relationships/footer" Target="footer1.xml"/><Relationship Id="rId3" Type="http://schemas.openxmlformats.org/officeDocument/2006/relationships/footnotes" Target="footnote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customXml" Target="../customXml/item2.xml"/><Relationship Id="rId5" Type="http://schemas.openxmlformats.org/officeDocument/2006/relationships/settings" Target="settings.xml"/><Relationship Id="rId10" Type="http://schemas.openxmlformats.org/officeDocument/2006/relationships/customXml" Target="../customXml/item1.xml"/><Relationship Id="rId4" Type="http://schemas.openxmlformats.org/officeDocument/2006/relationships/endnotes" Target="endnotes.xml"/><Relationship Id="rId9" Type="http://schemas.openxmlformats.org/officeDocument/2006/relationships/fontTable" Target="fontTable.xml"/><Relationship Id="rId13" Type="http://schemas.openxmlformats.org/officeDocument/2006/relationships/image" Target="media/veridian-brand-logo.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customXml/_rels/item1.xml.rels><?xml version="1.0" encoding="UTF-8"?><Relationships xmlns="http://schemas.openxmlformats.org/package/2006/relationships"><Relationship Id="rId1" Type="http://schemas.openxmlformats.org/officeDocument/2006/relationships/customXmlProps" Target="itemProps1.xml"/></Relationships>
</file>

<file path=customXml/_rels/item2.xml.rels><?xml version="1.0" encoding="UTF-8"?><Relationships xmlns="http://schemas.openxmlformats.org/package/2006/relationships"><Relationship Id="rId1" Type="http://schemas.openxmlformats.org/officeDocument/2006/relationships/customXmlProps" Target="itemProps2.xml"/></Relationships>
</file>

<file path=customXml/_rels/item3.xml.rels><?xml version="1.0" encoding="UTF-8"?><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C6364ACEF46547A497B4A5415725FE" ma:contentTypeVersion="12" ma:contentTypeDescription="Create a new document." ma:contentTypeScope="" ma:versionID="ab1c4ce4049acbd08511e59f4651f980">
  <xsd:schema xmlns:xsd="http://www.w3.org/2001/XMLSchema" xmlns:xs="http://www.w3.org/2001/XMLSchema" xmlns:p="http://schemas.microsoft.com/office/2006/metadata/properties" xmlns:ns2="4a866069-fdb1-4df2-8c46-d5413dfe9f74" xmlns:ns3="d3771acf-91e9-423a-a822-9232ae7f0a01" targetNamespace="http://schemas.microsoft.com/office/2006/metadata/properties" ma:root="true" ma:fieldsID="1ab1b480d1a19c9e738f994221842227" ns2:_="" ns3:_="">
    <xsd:import namespace="4a866069-fdb1-4df2-8c46-d5413dfe9f74"/>
    <xsd:import namespace="d3771acf-91e9-423a-a822-9232ae7f0a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866069-fdb1-4df2-8c46-d5413dfe9f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4a9f55f-dce0-4ad3-86af-47d93601117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Notes" ma:index="19"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771acf-91e9-423a-a822-9232ae7f0a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295e18d-3db4-4792-a8ff-b8fb91af6e3b}" ma:internalName="TaxCatchAll" ma:showField="CatchAllData" ma:web="d3771acf-91e9-423a-a822-9232ae7f0a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3771acf-91e9-423a-a822-9232ae7f0a01" xsi:nil="true"/>
    <lcf76f155ced4ddcb4097134ff3c332f xmlns="4a866069-fdb1-4df2-8c46-d5413dfe9f74">
      <Terms xmlns="http://schemas.microsoft.com/office/infopath/2007/PartnerControls"/>
    </lcf76f155ced4ddcb4097134ff3c332f>
    <Notes xmlns="4a866069-fdb1-4df2-8c46-d5413dfe9f74" xsi:nil="true"/>
  </documentManagement>
</p:properties>
</file>

<file path=customXml/itemProps1.xml><?xml version="1.0" encoding="utf-8"?>
<ds:datastoreItem xmlns:ds="http://schemas.openxmlformats.org/officeDocument/2006/customXml" ds:itemID="{2083B6A1-CA05-4CEA-A595-445583B400E2}"/>
</file>

<file path=customXml/itemProps2.xml><?xml version="1.0" encoding="utf-8"?>
<ds:datastoreItem xmlns:ds="http://schemas.openxmlformats.org/officeDocument/2006/customXml" ds:itemID="{8824205E-1F63-429B-9DA2-8D553614ED5E}"/>
</file>

<file path=customXml/itemProps3.xml><?xml version="1.0" encoding="utf-8"?>
<ds:datastoreItem xmlns:ds="http://schemas.openxmlformats.org/officeDocument/2006/customXml" ds:itemID="{52D0A115-D5F7-4542-81BC-795A1608912B}"/>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2026-05-29T22:54:00Z</dcterms:created>
  <dcterms:modified xsi:type="dcterms:W3CDTF">2026-05-29T22:54:00Z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0x0101008FC6364ACEF46547A497B4A5415725FE</vt:lpwstr>
  </property>
</Properties>
</file>