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body>
    <w:p>
      <w:pPr>
        <w:spacing w:after="240" w:before="0"/>
      </w:pPr>
      <w:r>
        <w:rPr>
          <w:b/>
          <w:bCs/>
          <w:sz w:val="36"/>
          <w:szCs w:val="36"/>
        </w:rPr>
        <w:t xml:space="preserve">Internal Audit Procedure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000"/>
        <w:gridCol w:w="3160"/>
      </w:tblGrid>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QMS-PRO-007</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Standard</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ISO 9001:2015 Cl. 9.2</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Revision</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1.0</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Issue Date</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Review Frequency</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Annual</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Owner</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bl>
    <w:p>
      <w:pPr>
        <w:pStyle w:val="Heading1"/>
        <w:spacing w:after="160" w:before="280"/>
      </w:pPr>
      <w:r>
        <w:t xml:space="preserve">1. Purpose</w:t>
      </w:r>
    </w:p>
    <w:p>
      <w:pPr>
        <w:spacing w:after="120"/>
      </w:pPr>
      <w:r>
        <w:t xml:space="preserve">To define how [Organisation Name] plans, conducts, reports and follows up internal audits of the Quality Management System. To ensure the QMS conforms to ISO 9001:2015 and to the organisation's own arrangements, is effectively implemented and maintained, and continues to deliver intended outcomes.</w:t>
      </w:r>
    </w:p>
    <w:p>
      <w:pPr>
        <w:pStyle w:val="Heading1"/>
        <w:spacing w:after="160" w:before="280"/>
      </w:pPr>
      <w:r>
        <w:t xml:space="preserve">2. Scope</w:t>
      </w:r>
    </w:p>
    <w:p>
      <w:pPr>
        <w:spacing w:after="120"/>
      </w:pPr>
      <w:r>
        <w:t xml:space="preserve">Applies to all internal audits of the QMS, including audits performed by [Organisation Name] personnel, audits performed by external auditors engaged on the organisation's behalf, and audits performed in support of certification surveillance. All ISO 9001 clauses and all QMS processes are within scope of the audit programme.</w:t>
      </w:r>
    </w:p>
    <w:p>
      <w:pPr>
        <w:pStyle w:val="Heading1"/>
        <w:spacing w:after="160" w:before="280"/>
      </w:pPr>
      <w:r>
        <w:t xml:space="preserve">3.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Internal audit</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 systematic, independent and documented process for obtaining audit evidence and evaluating it objectively to determine the extent to which audit criteria are fulfilled.</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Audit criteria</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The set of policies, procedures or requirements against which audit evidence is compared. Typically the relevant clauses of ISO 9001:2015 and the relevant [Organisation Name] QMS documents.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Audit evidence</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Records, statements of fact or other information that are relevant to the audit criteria and verifiable.</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Finding</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Result of the evaluation of audit evidence against audit criteria — categorised as nonconformity, observation, opportunity for improvement, or positive finding.</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Nonconformity (NC)</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Non-fulfilment of a requirement. Classified as Major or Minor.</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Major NC</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Absence of, or failure to implement and maintain, one or more required elements of the QMS. Significant doubt as to the ability of the QMS to achieve its intended outcomes.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Minor NC</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 single lapse in conformance with a procedure or QMS requirement that does not affect the overall effectiveness of the QMS.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Observation</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 finding that may not be a nonconformity but warrants management attention.</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Opportunity for Improvement (OFI)</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 suggestion for improvement that is not required to address a nonconformity.</w:t>
            </w:r>
          </w:p>
        </w:tc>
      </w:tr>
    </w:tbl>
    <w:p>
      <w:pPr>
        <w:pStyle w:val="Heading1"/>
        <w:spacing w:after="160" w:before="280"/>
      </w:pPr>
      <w:r>
        <w:t xml:space="preserve">4.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Managing Director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Approves the annual audit programme. Receives audit reports and major NC notifications.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Quality Manager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Maintains the audit programme. Selects auditors. Reviews and approves audit reports. Manages CAR follow-up.</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Lead Auditor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Plans the individual audit. Conducts opening and closing meetings. Issues the audit report. Communicates findings.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Auditors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Conduct interviews and document review. Gather objective evidence. Document findings.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Auditees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Provide access, evidence and explanations. Develop CARs in response to findings. Implement corrective actions.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External Audit Coordinator (if used)</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Where external auditors are engaged, the QM coordinates scope and access.</w:t>
            </w:r>
          </w:p>
        </w:tc>
      </w:tr>
    </w:tbl>
    <w:p>
      <w:pPr>
        <w:pStyle w:val="Heading1"/>
        <w:spacing w:after="160" w:before="280"/>
      </w:pPr>
      <w:r>
        <w:t xml:space="preserve">5. Annual Audit Programme</w:t>
      </w:r>
    </w:p>
    <w:p>
      <w:pPr>
        <w:spacing w:after="120"/>
      </w:pPr>
      <w:r>
        <w:t xml:space="preserve">The Quality Manager prepares an Annual Audit Programme covering:</w:t>
      </w:r>
    </w:p>
    <w:p>
      <w:pPr>
        <w:pStyle w:val="ListParagraph"/>
        <w:numPr>
          <w:ilvl w:val="0"/>
          <w:numId w:val="2"/>
        </w:numPr>
        <w:spacing w:after="60"/>
      </w:pPr>
      <w:r>
        <w:t xml:space="preserve">All ISO 9001 clauses — every clause audited at least once per calendar year.</w:t>
      </w:r>
    </w:p>
    <w:p>
      <w:pPr>
        <w:pStyle w:val="ListParagraph"/>
        <w:numPr>
          <w:ilvl w:val="0"/>
          <w:numId w:val="2"/>
        </w:numPr>
        <w:spacing w:after="60"/>
      </w:pPr>
      <w:r>
        <w:t xml:space="preserve">All QMS processes — every process audited at least once per calendar year.</w:t>
      </w:r>
    </w:p>
    <w:p>
      <w:pPr>
        <w:pStyle w:val="ListParagraph"/>
        <w:numPr>
          <w:ilvl w:val="0"/>
          <w:numId w:val="2"/>
        </w:numPr>
        <w:spacing w:after="60"/>
      </w:pPr>
      <w:r>
        <w:t xml:space="preserve">All sites — every site audited at least once per calendar year.</w:t>
      </w:r>
    </w:p>
    <w:p>
      <w:pPr>
        <w:pStyle w:val="ListParagraph"/>
        <w:numPr>
          <w:ilvl w:val="0"/>
          <w:numId w:val="2"/>
        </w:numPr>
        <w:spacing w:after="60"/>
      </w:pPr>
      <w:r>
        <w:t xml:space="preserve">Risk-based prioritisation — higher-risk processes audited more frequently.</w:t>
      </w:r>
    </w:p>
    <w:p>
      <w:pPr>
        <w:pStyle w:val="ListParagraph"/>
        <w:numPr>
          <w:ilvl w:val="0"/>
          <w:numId w:val="2"/>
        </w:numPr>
        <w:spacing w:after="60"/>
      </w:pPr>
      <w:r>
        <w:t xml:space="preserve">Findings-based prioritisation — processes with recent NCs audited again.</w:t>
      </w:r>
    </w:p>
    <w:p>
      <w:pPr>
        <w:pStyle w:val="ListParagraph"/>
        <w:numPr>
          <w:ilvl w:val="0"/>
          <w:numId w:val="2"/>
        </w:numPr>
        <w:spacing w:after="60"/>
      </w:pPr>
      <w:r>
        <w:t xml:space="preserve">Customer or external audit triggers — additional internal audit where customer or certification body finding indicates risk.</w:t>
      </w:r>
    </w:p>
    <w:p>
      <w:pPr>
        <w:spacing w:after="120"/>
      </w:pPr>
      <w:r>
        <w:t xml:space="preserve">The annual programme is approved by the Managing Director and presented at the first Management Review of the year. Changes to the programme require Quality Manager approval and are recorded with reason.</w:t>
      </w:r>
    </w:p>
    <w:p>
      <w:pPr>
        <w:pStyle w:val="Heading1"/>
        <w:spacing w:after="160" w:before="280"/>
      </w:pPr>
      <w:r>
        <w:t xml:space="preserve">6. Auditor Selection — Objectivity and Impartiality</w:t>
      </w:r>
    </w:p>
    <w:p>
      <w:pPr>
        <w:spacing w:after="120"/>
      </w:pPr>
      <w:r>
        <w:t xml:space="preserve">Auditor selection ensures objectivity and impartiality:</w:t>
      </w:r>
    </w:p>
    <w:p>
      <w:pPr>
        <w:pStyle w:val="ListParagraph"/>
        <w:numPr>
          <w:ilvl w:val="0"/>
          <w:numId w:val="2"/>
        </w:numPr>
        <w:spacing w:after="60"/>
      </w:pPr>
      <w:r>
        <w:rPr>
          <w:b/>
          <w:bCs/>
        </w:rPr>
        <w:t xml:space="preserve">Independence — </w:t>
      </w:r>
      <w:r>
        <w:t xml:space="preserve"> Auditors do not audit their own work or the work for which they have direct responsibility.</w:t>
      </w:r>
    </w:p>
    <w:p>
      <w:pPr>
        <w:pStyle w:val="ListParagraph"/>
        <w:numPr>
          <w:ilvl w:val="0"/>
          <w:numId w:val="2"/>
        </w:numPr>
        <w:spacing w:after="60"/>
      </w:pPr>
      <w:r>
        <w:rPr>
          <w:b/>
          <w:bCs/>
        </w:rPr>
        <w:t xml:space="preserve">Competence — </w:t>
      </w:r>
      <w:r>
        <w:t xml:space="preserve"> Auditors have completed internal auditor training and have sufficient knowledge of the audited process.</w:t>
      </w:r>
    </w:p>
    <w:p>
      <w:pPr>
        <w:pStyle w:val="ListParagraph"/>
        <w:numPr>
          <w:ilvl w:val="0"/>
          <w:numId w:val="2"/>
        </w:numPr>
        <w:spacing w:after="60"/>
      </w:pPr>
      <w:r>
        <w:rPr>
          <w:b/>
          <w:bCs/>
        </w:rPr>
        <w:t xml:space="preserve">Behaviour — </w:t>
      </w:r>
      <w:r>
        <w:t xml:space="preserve"> Auditors are fair, evidence-based, respectful and constructive.</w:t>
      </w:r>
    </w:p>
    <w:p>
      <w:pPr>
        <w:pStyle w:val="ListParagraph"/>
        <w:numPr>
          <w:ilvl w:val="0"/>
          <w:numId w:val="2"/>
        </w:numPr>
        <w:spacing w:after="60"/>
      </w:pPr>
      <w:r>
        <w:rPr>
          <w:b/>
          <w:bCs/>
        </w:rPr>
        <w:t xml:space="preserve">Lead Auditor — </w:t>
      </w:r>
      <w:r>
        <w:t xml:space="preserve"> Each audit has a designated Lead Auditor responsible for planning and reporting.</w:t>
      </w:r>
    </w:p>
    <w:p>
      <w:pPr>
        <w:pStyle w:val="Heading1"/>
        <w:spacing w:after="160" w:before="280"/>
      </w:pPr>
      <w:r>
        <w:t xml:space="preserve">7. Individual Audit Planning</w:t>
      </w:r>
    </w:p>
    <w:p>
      <w:pPr>
        <w:spacing w:after="120"/>
      </w:pPr>
      <w:r>
        <w:t xml:space="preserve">For each audit, the Lead Auditor prepares an Audit Plan covering:</w:t>
      </w:r>
    </w:p>
    <w:p>
      <w:pPr>
        <w:pStyle w:val="ListParagraph"/>
        <w:numPr>
          <w:ilvl w:val="0"/>
          <w:numId w:val="2"/>
        </w:numPr>
        <w:spacing w:after="60"/>
      </w:pPr>
      <w:r>
        <w:t xml:space="preserve">Audit scope, criteria and objectives.</w:t>
      </w:r>
    </w:p>
    <w:p>
      <w:pPr>
        <w:pStyle w:val="ListParagraph"/>
        <w:numPr>
          <w:ilvl w:val="0"/>
          <w:numId w:val="2"/>
        </w:numPr>
        <w:spacing w:after="60"/>
      </w:pPr>
      <w:r>
        <w:t xml:space="preserve">Audit date, location, duration.</w:t>
      </w:r>
    </w:p>
    <w:p>
      <w:pPr>
        <w:pStyle w:val="ListParagraph"/>
        <w:numPr>
          <w:ilvl w:val="0"/>
          <w:numId w:val="2"/>
        </w:numPr>
        <w:spacing w:after="60"/>
      </w:pPr>
      <w:r>
        <w:t xml:space="preserve">Audit team composition.</w:t>
      </w:r>
    </w:p>
    <w:p>
      <w:pPr>
        <w:pStyle w:val="ListParagraph"/>
        <w:numPr>
          <w:ilvl w:val="0"/>
          <w:numId w:val="2"/>
        </w:numPr>
        <w:spacing w:after="60"/>
      </w:pPr>
      <w:r>
        <w:t xml:space="preserve">Auditees to be interviewed.</w:t>
      </w:r>
    </w:p>
    <w:p>
      <w:pPr>
        <w:pStyle w:val="ListParagraph"/>
        <w:numPr>
          <w:ilvl w:val="0"/>
          <w:numId w:val="2"/>
        </w:numPr>
        <w:spacing w:after="60"/>
      </w:pPr>
      <w:r>
        <w:t xml:space="preserve">Documents and records to be reviewed.</w:t>
      </w:r>
    </w:p>
    <w:p>
      <w:pPr>
        <w:pStyle w:val="ListParagraph"/>
        <w:numPr>
          <w:ilvl w:val="0"/>
          <w:numId w:val="2"/>
        </w:numPr>
        <w:spacing w:after="60"/>
      </w:pPr>
      <w:r>
        <w:t xml:space="preserve">Sampling strategy.</w:t>
      </w:r>
    </w:p>
    <w:p>
      <w:pPr>
        <w:pStyle w:val="ListParagraph"/>
        <w:numPr>
          <w:ilvl w:val="0"/>
          <w:numId w:val="2"/>
        </w:numPr>
        <w:spacing w:after="60"/>
      </w:pPr>
      <w:r>
        <w:t xml:space="preserve">Opening and closing meeting arrangements.</w:t>
      </w:r>
    </w:p>
    <w:p>
      <w:pPr>
        <w:spacing w:after="120"/>
      </w:pPr>
      <w:r>
        <w:t xml:space="preserve">The Audit Plan is issued to auditees at least 5 business days before the audit.</w:t>
      </w:r>
    </w:p>
    <w:p>
      <w:pPr>
        <w:pStyle w:val="Heading1"/>
        <w:spacing w:after="160" w:before="280"/>
      </w:pPr>
      <w:r>
        <w:t xml:space="preserve">8. Audit Conduct</w:t>
      </w:r>
    </w:p>
    <w:p>
      <w:pPr>
        <w:pStyle w:val="ListParagraph"/>
        <w:numPr>
          <w:ilvl w:val="0"/>
          <w:numId w:val="2"/>
        </w:numPr>
        <w:spacing w:after="60"/>
      </w:pPr>
      <w:r>
        <w:t xml:space="preserve">Opening meeting — Lead Auditor confirms scope, criteria, schedule and reporting timeline with auditees.</w:t>
      </w:r>
    </w:p>
    <w:p>
      <w:pPr>
        <w:pStyle w:val="ListParagraph"/>
        <w:numPr>
          <w:ilvl w:val="0"/>
          <w:numId w:val="2"/>
        </w:numPr>
        <w:spacing w:after="60"/>
      </w:pPr>
      <w:r>
        <w:t xml:space="preserve">Evidence gathering — Auditors interview personnel, observe work, review records, sample outputs. Findings are based on objective evidence, not opinion.</w:t>
      </w:r>
    </w:p>
    <w:p>
      <w:pPr>
        <w:pStyle w:val="ListParagraph"/>
        <w:numPr>
          <w:ilvl w:val="0"/>
          <w:numId w:val="2"/>
        </w:numPr>
        <w:spacing w:after="60"/>
      </w:pPr>
      <w:r>
        <w:t xml:space="preserve">Finding development — At end of each day, auditors review findings as a team. Findings are categorised.</w:t>
      </w:r>
    </w:p>
    <w:p>
      <w:pPr>
        <w:pStyle w:val="ListParagraph"/>
        <w:numPr>
          <w:ilvl w:val="0"/>
          <w:numId w:val="2"/>
        </w:numPr>
        <w:spacing w:after="60"/>
      </w:pPr>
      <w:r>
        <w:t xml:space="preserve">Closing meeting — Lead Auditor presents findings to auditees. Auditees confirm understanding (not necessarily agreement). Disputed findings are noted and addressed in the report.</w:t>
      </w:r>
    </w:p>
    <w:p>
      <w:pPr>
        <w:pStyle w:val="ListParagraph"/>
        <w:numPr>
          <w:ilvl w:val="0"/>
          <w:numId w:val="2"/>
        </w:numPr>
        <w:spacing w:after="60"/>
      </w:pPr>
      <w:r>
        <w:t xml:space="preserve">Report issue — Audit Report (QMS-FRM-AUD-001) is issued within 10 business days of the closing meeting.</w:t>
      </w:r>
    </w:p>
    <w:p>
      <w:pPr>
        <w:pStyle w:val="Heading1"/>
        <w:spacing w:after="160" w:before="280"/>
      </w:pPr>
      <w:r>
        <w:t xml:space="preserve">9. Findings Classification</w:t>
      </w:r>
    </w:p>
    <w:p>
      <w:pPr>
        <w:pStyle w:val="ListParagraph"/>
        <w:numPr>
          <w:ilvl w:val="0"/>
          <w:numId w:val="2"/>
        </w:numPr>
        <w:spacing w:after="60"/>
      </w:pPr>
      <w:r>
        <w:rPr>
          <w:b/>
          <w:bCs/>
        </w:rPr>
        <w:t xml:space="preserve">Major NC — </w:t>
      </w:r>
      <w:r>
        <w:t xml:space="preserve"> CAR within 30 business days. Containment action within 5 business days. MD notification.</w:t>
      </w:r>
    </w:p>
    <w:p>
      <w:pPr>
        <w:pStyle w:val="ListParagraph"/>
        <w:numPr>
          <w:ilvl w:val="0"/>
          <w:numId w:val="2"/>
        </w:numPr>
        <w:spacing w:after="60"/>
      </w:pPr>
      <w:r>
        <w:rPr>
          <w:b/>
          <w:bCs/>
        </w:rPr>
        <w:t xml:space="preserve">Minor NC — </w:t>
      </w:r>
      <w:r>
        <w:t xml:space="preserve"> CAR within 60 business days.</w:t>
      </w:r>
    </w:p>
    <w:p>
      <w:pPr>
        <w:pStyle w:val="ListParagraph"/>
        <w:numPr>
          <w:ilvl w:val="0"/>
          <w:numId w:val="2"/>
        </w:numPr>
        <w:spacing w:after="60"/>
      </w:pPr>
      <w:r>
        <w:rPr>
          <w:b/>
          <w:bCs/>
        </w:rPr>
        <w:t xml:space="preserve">Observation — </w:t>
      </w:r>
      <w:r>
        <w:t xml:space="preserve"> Documented in report. No mandatory action; auditee should consider response.</w:t>
      </w:r>
    </w:p>
    <w:p>
      <w:pPr>
        <w:pStyle w:val="ListParagraph"/>
        <w:numPr>
          <w:ilvl w:val="0"/>
          <w:numId w:val="2"/>
        </w:numPr>
        <w:spacing w:after="60"/>
      </w:pPr>
      <w:r>
        <w:rPr>
          <w:b/>
          <w:bCs/>
        </w:rPr>
        <w:t xml:space="preserve">Opportunity for Improvement — </w:t>
      </w:r>
      <w:r>
        <w:t xml:space="preserve"> Documented in report for management consideration.</w:t>
      </w:r>
    </w:p>
    <w:p>
      <w:pPr>
        <w:pStyle w:val="ListParagraph"/>
        <w:numPr>
          <w:ilvl w:val="0"/>
          <w:numId w:val="2"/>
        </w:numPr>
        <w:spacing w:after="60"/>
      </w:pPr>
      <w:r>
        <w:rPr>
          <w:b/>
          <w:bCs/>
        </w:rPr>
        <w:t xml:space="preserve">Positive Finding — </w:t>
      </w:r>
      <w:r>
        <w:t xml:space="preserve"> Documented to recognise good practice and support knowledge transfer.</w:t>
      </w:r>
    </w:p>
    <w:p>
      <w:pPr>
        <w:pStyle w:val="Heading1"/>
        <w:spacing w:after="160" w:before="280"/>
      </w:pPr>
      <w:r>
        <w:t xml:space="preserve">10. CAR Process from Audit Findings</w:t>
      </w:r>
    </w:p>
    <w:p>
      <w:pPr>
        <w:spacing w:after="120"/>
      </w:pPr>
      <w:r>
        <w:t xml:space="preserve">All Major and Minor NCs result in a CAR per QMS-PRO-009. The audit-derived CAR is owned by the auditee manager. The Lead Auditor agrees the action and target date. The Quality Manager verifies effectiveness after implementation.</w:t>
      </w:r>
    </w:p>
    <w:p>
      <w:pPr>
        <w:pStyle w:val="Heading1"/>
        <w:spacing w:after="160" w:before="280"/>
      </w:pPr>
      <w:r>
        <w:t xml:space="preserve">11. Audit Report</w:t>
      </w:r>
    </w:p>
    <w:p>
      <w:pPr>
        <w:spacing w:after="120"/>
      </w:pPr>
      <w:r>
        <w:t xml:space="preserve">The Audit Report (QMS-FRM-AUD-001) contains:</w:t>
      </w:r>
    </w:p>
    <w:p>
      <w:pPr>
        <w:pStyle w:val="ListParagraph"/>
        <w:numPr>
          <w:ilvl w:val="0"/>
          <w:numId w:val="2"/>
        </w:numPr>
        <w:spacing w:after="60"/>
      </w:pPr>
      <w:r>
        <w:t xml:space="preserve">Audit identification, scope, criteria, date, team.</w:t>
      </w:r>
    </w:p>
    <w:p>
      <w:pPr>
        <w:pStyle w:val="ListParagraph"/>
        <w:numPr>
          <w:ilvl w:val="0"/>
          <w:numId w:val="2"/>
        </w:numPr>
        <w:spacing w:after="60"/>
      </w:pPr>
      <w:r>
        <w:t xml:space="preserve">Summary of findings by classification.</w:t>
      </w:r>
    </w:p>
    <w:p>
      <w:pPr>
        <w:pStyle w:val="ListParagraph"/>
        <w:numPr>
          <w:ilvl w:val="0"/>
          <w:numId w:val="2"/>
        </w:numPr>
        <w:spacing w:after="60"/>
      </w:pPr>
      <w:r>
        <w:t xml:space="preserve">Detail of each finding with evidence and clause reference.</w:t>
      </w:r>
    </w:p>
    <w:p>
      <w:pPr>
        <w:pStyle w:val="ListParagraph"/>
        <w:numPr>
          <w:ilvl w:val="0"/>
          <w:numId w:val="2"/>
        </w:numPr>
        <w:spacing w:after="60"/>
      </w:pPr>
      <w:r>
        <w:t xml:space="preserve">Auditee acknowledgement.</w:t>
      </w:r>
    </w:p>
    <w:p>
      <w:pPr>
        <w:pStyle w:val="ListParagraph"/>
        <w:numPr>
          <w:ilvl w:val="0"/>
          <w:numId w:val="2"/>
        </w:numPr>
        <w:spacing w:after="60"/>
      </w:pPr>
      <w:r>
        <w:t xml:space="preserve">Linked CAR references.</w:t>
      </w:r>
    </w:p>
    <w:p>
      <w:pPr>
        <w:pStyle w:val="ListParagraph"/>
        <w:numPr>
          <w:ilvl w:val="0"/>
          <w:numId w:val="2"/>
        </w:numPr>
        <w:spacing w:after="60"/>
      </w:pPr>
      <w:r>
        <w:t xml:space="preserve">Distribution: Auditee Manager, Quality Manager, Operations Manager, MD (for Major NCs).</w:t>
      </w:r>
    </w:p>
    <w:p>
      <w:pPr>
        <w:pStyle w:val="Heading1"/>
        <w:spacing w:after="160" w:before="280"/>
      </w:pPr>
      <w:r>
        <w:t xml:space="preserve">12. Audit Programme Review</w:t>
      </w:r>
    </w:p>
    <w:p>
      <w:pPr>
        <w:pStyle w:val="ListParagraph"/>
        <w:numPr>
          <w:ilvl w:val="0"/>
          <w:numId w:val="2"/>
        </w:numPr>
        <w:spacing w:after="60"/>
      </w:pPr>
      <w:r>
        <w:t xml:space="preserve">The audit programme is reviewed at each Management Review.</w:t>
      </w:r>
    </w:p>
    <w:p>
      <w:pPr>
        <w:pStyle w:val="ListParagraph"/>
        <w:numPr>
          <w:ilvl w:val="0"/>
          <w:numId w:val="2"/>
        </w:numPr>
        <w:spacing w:after="60"/>
      </w:pPr>
      <w:r>
        <w:t xml:space="preserve">Total findings, recurring themes and CAR closure rates are reported.</w:t>
      </w:r>
    </w:p>
    <w:p>
      <w:pPr>
        <w:pStyle w:val="ListParagraph"/>
        <w:numPr>
          <w:ilvl w:val="0"/>
          <w:numId w:val="2"/>
        </w:numPr>
        <w:spacing w:after="60"/>
      </w:pPr>
      <w:r>
        <w:t xml:space="preserve">Programme adjustments are made where audit effectiveness can be improved.</w:t>
      </w:r>
    </w:p>
    <w:p>
      <w:pPr>
        <w:pStyle w:val="Heading1"/>
        <w:spacing w:after="160" w:before="280"/>
      </w:pPr>
      <w:r>
        <w:t xml:space="preserve">13. Records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Annual Audit Programme</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Approved by MD. Retained 5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Audit plans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Retained with audit records. 5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Audit reports (QMS-FRM-AUD-001)</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Retained 5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Audit evidence (notes, screenshots, samples)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Retained 5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CARs raised from audits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Retained 7 years (QMS-PRO-009).</w:t>
            </w:r>
          </w:p>
        </w:tc>
      </w:tr>
    </w:tbl>
    <w:p>
      <w:pPr>
        <w:pStyle w:val="Heading1"/>
        <w:spacing w:after="160" w:before="280"/>
      </w:pPr>
      <w:r>
        <w:t xml:space="preserve">14. Related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63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Title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QMS-PRO-008</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Management Review Procedure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QMS-PRO-009</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Corrective Action Procedure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QMS-FRM-AUD-001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Internal Audit Report</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QMS-FRM-CAR-001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Corrective Action Request Form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Role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Name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Signature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Date</w:t>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Managing Director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8F00" w:sz="12"/>
              <w:left w:val="single" w:color="BF8F00" w:sz="12"/>
              <w:bottom w:val="single" w:color="BF8F00" w:sz="4"/>
              <w:right w:val="single" w:color="BF8F00" w:sz="12"/>
            </w:tcBorders>
            <w:shd w:fill="BF8F00" w:val="clear"/>
            <w:tcMar>
              <w:top w:type="dxa" w:w="120"/>
              <w:left w:type="dxa" w:w="200"/>
              <w:bottom w:type="dxa" w:w="120"/>
              <w:right w:type="dxa" w:w="200"/>
            </w:tcMar>
          </w:tcPr>
          <w:p>
            <w:r>
              <w:rPr>
                <w:b/>
                <w:bCs/>
                <w:color w:val="FFFFFF"/>
                <w:sz w:val="22"/>
                <w:szCs w:val="22"/>
              </w:rPr>
              <w:t xml:space="preserve">✎  HOW TO COMPLETE THIS DOCUMENT  —  DELETE THIS SECTION BEFORE PUBLISHING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i/>
                <w:iCs/>
                <w:color w:val="806000"/>
                <w:sz w:val="20"/>
                <w:szCs w:val="20"/>
              </w:rPr>
              <w:t xml:space="preserve">Use these notes to tailor, complete and finalise this document before publication. Delete this section once done.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1. Develop the Annual Audit Programme</w:t>
            </w:r>
          </w:p>
          <w:p>
            <w:r>
              <w:rPr>
                <w:color w:val="806000"/>
                <w:sz w:val="20"/>
                <w:szCs w:val="20"/>
              </w:rPr>
              <w:t xml:space="preserve">Schedule audits covering every ISO clause and every QMS process at least once. Build the calendar at the start of each year and get MD approval.</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2. Identify and train internal auditors</w:t>
            </w:r>
          </w:p>
          <w:p>
            <w:r>
              <w:rPr>
                <w:color w:val="806000"/>
                <w:sz w:val="20"/>
                <w:szCs w:val="20"/>
              </w:rPr>
              <w:t xml:space="preserve">Each auditor needs internal audit training — either internal training (using ISO 9001:2015 as basis) or external course. Maintain a register of qualified internal auditors.</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3. Resolve the independence challenge for SMEs</w:t>
            </w:r>
          </w:p>
          <w:p>
            <w:r>
              <w:rPr>
                <w:color w:val="806000"/>
                <w:sz w:val="20"/>
                <w:szCs w:val="20"/>
              </w:rPr>
              <w:t xml:space="preserve">If you can't field independent internal auditors, engage external auditors or arrange peer audits with another organisation. Don't let one person audit their own area.</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4. Build the Audit Plan template</w:t>
            </w:r>
          </w:p>
          <w:p>
            <w:r>
              <w:rPr>
                <w:color w:val="806000"/>
                <w:sz w:val="20"/>
                <w:szCs w:val="20"/>
              </w:rPr>
              <w:t xml:space="preserve">Section 7 lists what the plan must cover. Build a one-page template the Lead Auditor can fill out quickly.</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5. Stress-test the timing</w:t>
            </w:r>
          </w:p>
          <w:p>
            <w:r>
              <w:rPr>
                <w:color w:val="806000"/>
                <w:sz w:val="20"/>
                <w:szCs w:val="20"/>
              </w:rPr>
              <w:t xml:space="preserve">Are 10 business days for report issue realistic in your business? Adjust if necessary, but don't make it longer than 15.</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6. Confirm CAR linkage</w:t>
            </w:r>
          </w:p>
          <w:p>
            <w:r>
              <w:rPr>
                <w:color w:val="806000"/>
                <w:sz w:val="20"/>
                <w:szCs w:val="20"/>
              </w:rPr>
              <w:t xml:space="preserve">Audit findings flow into CARs. Confirm the workflow connects QMS-FRM-AUD-001 to QMS-FRM-CAR-001 cleanly.</w:t>
            </w:r>
          </w:p>
        </w:tc>
      </w:tr>
      <w:tr>
        <w:tc>
          <w:tcPr>
            <w:tcW w:type="dxa" w:w="9360"/>
            <w:tcBorders>
              <w:top w:val="none"/>
              <w:left w:val="single" w:color="BF8F00" w:sz="12"/>
              <w:bottom w:val="single" w:color="BF8F00" w:sz="12"/>
              <w:right w:val="single" w:color="BF8F00" w:sz="12"/>
            </w:tcBorders>
            <w:shd w:fill="FFF2CC" w:val="clear"/>
            <w:tcMar>
              <w:top w:type="dxa" w:w="120"/>
              <w:left w:type="dxa" w:w="200"/>
              <w:bottom w:type="dxa" w:w="120"/>
              <w:right w:type="dxa" w:w="200"/>
            </w:tcMar>
          </w:tcPr>
          <w:p>
            <w:r>
              <w:rPr>
                <w:b/>
                <w:bCs/>
                <w:color w:val="806000"/>
                <w:sz w:val="20"/>
                <w:szCs w:val="20"/>
              </w:rPr>
              <w:t xml:space="preserve">7. DELETE this guidance section before publishing</w:t>
            </w:r>
          </w:p>
          <w:p>
            <w:r>
              <w:rPr>
                <w:color w:val="806000"/>
                <w:sz w:val="20"/>
                <w:szCs w:val="20"/>
              </w:rPr>
              <w:t xml:space="preserve">Select the entire yellow-bordered block and delete.</w:t>
            </w:r>
          </w:p>
        </w:tc>
      </w:tr>
    </w:tbl>
    <w:p>
      <w:pPr>
        <w:spacing w:after="120"/>
      </w:pPr>
      <w:r>
        <w:t xml:space="preserve">QMS-PRO-007  •  Rev 1.0CONTROLLED DOCUMENT — verify currency before usePage  of</w:t>
      </w:r>
    </w:p>
    <w:sectPr>
      <w:headerReference w:type="default" r:id="rId7"/>
      <w:footerReference w:type="default" r:id="rId8"/>
      <w:pgSz w:w="11906" w:h="16838"/>
      <w:pgMar w:top="170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p>
    <w:pPr>
      <w:pBdr>
        <w:top w:val="single" w:color="BFBFBF" w:sz="4" w:space="4"/>
      </w:pBdr>
      <w:tabs>
        <w:tab w:val="center" w:pos="4680"/>
        <w:tab w:val="right" w:pos="9360"/>
      </w:tabs>
    </w:pPr>
    <w:r>
      <w:rPr>
        <w:color w:val="595959"/>
        <w:sz w:val="16"/>
        <w:szCs w:val="16"/>
      </w:rPr>
      <w:t xml:space="preserve">QMS-PRO-007  •  Rev 1.0</w:t>
    </w:r>
    <w:r>
      <w:rPr>
        <w:sz w:val="16"/>
        <w:szCs w:val="16"/>
      </w:rPr>
      <w:t>	</w:t>
    </w:r>
    <w:r>
      <w:rPr>
        <w:i/>
        <w:iCs/>
        <w:color w:val="595959"/>
        <w:sz w:val="16"/>
        <w:szCs w:val="16"/>
      </w:rPr>
      <w:t xml:space="preserve">CONTROLLED DOCUMENT — verify currency before use</w:t>
    </w:r>
    <w:r>
      <w:rPr>
        <w:sz w:val="16"/>
        <w:szCs w:val="16"/>
      </w:rPr>
      <w:t>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tbl>
    <w:tblPr>
      <w:tblW w:type="dxa" w:w="9360"/>
      <w:tblBorders>
        <w:top w:val="none" w:sz="0"/>
        <w:left w:val="none" w:sz="0"/>
        <w:bottom w:val="single" w:color="000000" w:sz="8"/>
        <w:right w:val="none" w:sz="0"/>
        <w:insideH w:val="none" w:sz="0"/>
        <w:insideV w:val="none" w:sz="0"/>
      </w:tblBorders>
    </w:tblPr>
    <w:tblGrid>
      <w:gridCol w:w="2400"/>
      <w:gridCol w:w="5160"/>
      <w:gridCol w:w="1800"/>
    </w:tblGrid>
    <w:tr>
      <w:tc>
        <w:tcPr>
          <w:tcW w:type="dxa" w:w="2400"/>
          <w:tcBorders>
            <w:top w:val="none" w:sz="0"/>
            <w:left w:val="none" w:sz="0"/>
            <w:bottom w:val="single" w:color="000000" w:sz="8"/>
            <w:right w:val="none" w:sz="0"/>
          </w:tcBorders>
          <w:tcMar>
            <w:top w:type="dxa" w:w="60"/>
            <w:left w:type="dxa" w:w="80"/>
            <w:bottom w:type="dxa" w:w="80"/>
            <w:right w:type="dxa" w:w="80"/>
          </w:tcMar>
          <w:vAlign w:val="center"/>
        </w:tcPr>
        <w:p>
          <w:r>
            <w:rPr>
              <w:b/>
              <w:bCs/>
              <w:sz w:val="22"/>
              <w:szCs w:val="22"/>
            </w:rPr>
            <w:t xml:space="preserve">[ORGANISATION NAME]</w:t>
          </w:r>
        </w:p>
      </w:tc>
      <w:tc>
        <w:tcPr>
          <w:tcW w:type="dxa" w:w="5160"/>
          <w:tcBorders>
            <w:top w:val="none" w:sz="0"/>
            <w:left w:val="none" w:sz="0"/>
            <w:bottom w:val="single" w:color="000000" w:sz="8"/>
            <w:right w:val="none" w:sz="0"/>
          </w:tcBorders>
          <w:tcMar>
            <w:top w:type="dxa" w:w="60"/>
            <w:left w:type="dxa" w:w="80"/>
            <w:bottom w:type="dxa" w:w="80"/>
            <w:right w:type="dxa" w:w="80"/>
          </w:tcMar>
          <w:vAlign w:val="center"/>
        </w:tcPr>
        <w:p>
          <w:pPr>
            <w:spacing w:after="20"/>
            <w:jc w:val="center"/>
          </w:pPr>
          <w:r>
            <w:rPr>
              <w:b/>
              <w:bCs/>
              <w:sz w:val="20"/>
              <w:szCs w:val="20"/>
            </w:rPr>
            <w:t xml:space="preserve">Internal Audit Procedure</w:t>
          </w:r>
        </w:p>
        <w:p>
          <w:pPr>
            <w:jc w:val="center"/>
          </w:pPr>
          <w:r>
            <w:rPr>
              <w:i/>
              <w:iCs/>
              <w:color w:val="595959"/>
              <w:sz w:val="16"/>
              <w:szCs w:val="16"/>
            </w:rPr>
            <w:t xml:space="preserve">ISO 9001:2015 — Cl. 9.2</w:t>
          </w:r>
        </w:p>
      </w:tc>
      <w:tc>
        <w:tcPr>
          <w:tcW w:type="dxa" w:w="1800"/>
          <w:tcBorders>
            <w:top w:val="none" w:sz="0"/>
            <w:left w:val="none" w:sz="0"/>
            <w:bottom w:val="single" w:color="000000" w:sz="8"/>
            <w:right w:val="none" w:sz="0"/>
          </w:tcBorders>
          <w:tcMar>
            <w:top w:type="dxa" w:w="60"/>
            <w:left w:type="dxa" w:w="80"/>
            <w:bottom w:type="dxa" w:w="80"/>
            <w:right w:type="dxa" w:w="80"/>
          </w:tcMar>
          <w:vAlign w:val="center"/>
        </w:tcPr>
        <w:p>
          <w:pPr>
            <w:jc w:val="right"/>
          </w:pPr>
          <w:r>
            <w:rPr>
              <w:b/>
              <w:bCs/>
              <w:sz w:val="18"/>
              <w:szCs w:val="18"/>
            </w:rPr>
            <w:t xml:space="preserve">QMS-PRO-007</w:t>
          </w:r>
        </w:p>
      </w:tc>
    </w:tr>
  </w:tbl>
  <w:p>
    <w:pP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lvl w:ilvl="1" w15:tentative="1">
      <w:start w:val="1"/>
      <w:numFmt w:val="lowerLetter"/>
      <w:lvlText w:val="%2."/>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000000"/>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000000"/>
      <w:sz w:val="24"/>
      <w:szCs w:val="24"/>
    </w:rPr>
  </w:style>
  <w:style w:type="paragraph" w:styleId="Heading3">
    <w:name w:val="Heading 3"/>
    <w:basedOn w:val="Normal"/>
    <w:next w:val="Normal"/>
    <w:qFormat/>
    <w:pPr>
      <w:spacing w:after="80" w:before="160"/>
      <w:outlineLvl w:val="2"/>
    </w:pPr>
    <w:rPr>
      <w:rFonts w:ascii="Calibri" w:cs="Calibri" w:eastAsia="Calibri" w:hAnsi="Calibri"/>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 Id="rId13" Type="http://schemas.openxmlformats.org/officeDocument/2006/relationships/image" Target="media/veridian-brand-logo.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6364ACEF46547A497B4A5415725FE" ma:contentTypeVersion="12" ma:contentTypeDescription="Create a new document." ma:contentTypeScope="" ma:versionID="ab1c4ce4049acbd08511e59f4651f980">
  <xsd:schema xmlns:xsd="http://www.w3.org/2001/XMLSchema" xmlns:xs="http://www.w3.org/2001/XMLSchema" xmlns:p="http://schemas.microsoft.com/office/2006/metadata/properties" xmlns:ns2="4a866069-fdb1-4df2-8c46-d5413dfe9f74" xmlns:ns3="d3771acf-91e9-423a-a822-9232ae7f0a01" targetNamespace="http://schemas.microsoft.com/office/2006/metadata/properties" ma:root="true" ma:fieldsID="1ab1b480d1a19c9e738f994221842227" ns2:_="" ns3:_="">
    <xsd:import namespace="4a866069-fdb1-4df2-8c46-d5413dfe9f74"/>
    <xsd:import namespace="d3771acf-91e9-423a-a822-9232ae7f0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66069-fdb1-4df2-8c46-d5413dfe9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a9f55f-dce0-4ad3-86af-47d9360111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1acf-91e9-423a-a822-9232ae7f0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95e18d-3db4-4792-a8ff-b8fb91af6e3b}" ma:internalName="TaxCatchAll" ma:showField="CatchAllData" ma:web="d3771acf-91e9-423a-a822-9232ae7f0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71acf-91e9-423a-a822-9232ae7f0a01" xsi:nil="true"/>
    <lcf76f155ced4ddcb4097134ff3c332f xmlns="4a866069-fdb1-4df2-8c46-d5413dfe9f74">
      <Terms xmlns="http://schemas.microsoft.com/office/infopath/2007/PartnerControls"/>
    </lcf76f155ced4ddcb4097134ff3c332f>
    <Notes xmlns="4a866069-fdb1-4df2-8c46-d5413dfe9f74" xsi:nil="true"/>
  </documentManagement>
</p:properties>
</file>

<file path=customXml/itemProps1.xml><?xml version="1.0" encoding="utf-8"?>
<ds:datastoreItem xmlns:ds="http://schemas.openxmlformats.org/officeDocument/2006/customXml" ds:itemID="{2083B6A1-CA05-4CEA-A595-445583B400E2}"/>
</file>

<file path=customXml/itemProps2.xml><?xml version="1.0" encoding="utf-8"?>
<ds:datastoreItem xmlns:ds="http://schemas.openxmlformats.org/officeDocument/2006/customXml" ds:itemID="{8824205E-1F63-429B-9DA2-8D553614ED5E}"/>
</file>

<file path=customXml/itemProps3.xml><?xml version="1.0" encoding="utf-8"?>
<ds:datastoreItem xmlns:ds="http://schemas.openxmlformats.org/officeDocument/2006/customXml" ds:itemID="{52D0A115-D5F7-4542-81BC-795A1608912B}"/>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2026-05-29T22:54:00Z</dcterms:created>
  <dcterms:modified xsi:type="dcterms:W3CDTF">2026-05-29T22:54:00Z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0x0101008FC6364ACEF46547A497B4A5415725FE</vt:lpwstr>
  </property>
</Properties>
</file>