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body>
    <w:p>
      <w:pPr>
        <w:spacing w:after="240" w:before="0"/>
      </w:pPr>
      <w:r>
        <w:rPr>
          <w:b/>
          <w:bCs/>
          <w:sz w:val="36"/>
          <w:szCs w:val="36"/>
        </w:rPr>
        <w:t xml:space="preserve">Product and Service Release Procedure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200"/>
        <w:gridCol w:w="2000"/>
        <w:gridCol w:w="3160"/>
      </w:tblGrid>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Document No.</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QMS-PRO-005</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Standard</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ISO 9001:2015 Cl. 8.5, 8.6</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Revision</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2.0</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Issue Date</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[Date]</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Review Frequency</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Annual</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Owner</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r>
    </w:tbl>
    <w:p>
      <w:pPr>
        <w:pStyle w:val="Heading1"/>
        <w:spacing w:after="160" w:before="280"/>
      </w:pPr>
      <w:r>
        <w:t xml:space="preserve">1. Purpose</w:t>
      </w:r>
    </w:p>
    <w:p>
      <w:pPr>
        <w:spacing w:after="120"/>
      </w:pPr>
      <w:r>
        <w:t xml:space="preserve">To define the controls applied during production and service delivery, the identification and traceability of product, the handling of customer property, the preservation of product through delivery, and the final inspection and authorised release of product to the customer. This procedure covers ISO 9001 Cl. 8.5 (Production and service provision) and 8.6 (Release of products and services).</w:t>
      </w:r>
    </w:p>
    <w:p>
      <w:pPr>
        <w:pStyle w:val="Heading1"/>
        <w:spacing w:after="160" w:before="280"/>
      </w:pPr>
      <w:r>
        <w:t xml:space="preserve">2. Scope</w:t>
      </w:r>
    </w:p>
    <w:p>
      <w:pPr>
        <w:spacing w:after="120"/>
      </w:pPr>
      <w:r>
        <w:t xml:space="preserve">All production and service delivery activities at [Organisation Name], from receipt of customer order through to delivery of conforming product and any post-delivery activities. Includes activities performed at the organisation's premises, at supplier premises under the organisation's control, and at customer sites.</w:t>
      </w:r>
    </w:p>
    <w:p>
      <w:pPr>
        <w:pStyle w:val="Heading1"/>
        <w:spacing w:after="160" w:before="280"/>
      </w:pPr>
      <w:r>
        <w:t xml:space="preserve">3. Production Control (Cl. 8.5.1)</w:t>
      </w:r>
    </w:p>
    <w:p>
      <w:pPr>
        <w:spacing w:after="120"/>
      </w:pPr>
      <w:r>
        <w:t xml:space="preserve">Production and service delivery is controlled through:</w:t>
      </w:r>
    </w:p>
    <w:p>
      <w:pPr>
        <w:pStyle w:val="ListParagraph"/>
        <w:numPr>
          <w:ilvl w:val="0"/>
          <w:numId w:val="2"/>
        </w:numPr>
        <w:spacing w:after="60"/>
      </w:pPr>
      <w:r>
        <w:rPr>
          <w:b/>
          <w:bCs/>
        </w:rPr>
        <w:t xml:space="preserve">Documented information — </w:t>
      </w:r>
      <w:r>
        <w:t xml:space="preserve"> Drawings, work instructions, ITPs and procedures available at point of use in current revision.</w:t>
      </w:r>
    </w:p>
    <w:p>
      <w:pPr>
        <w:pStyle w:val="ListParagraph"/>
        <w:numPr>
          <w:ilvl w:val="0"/>
          <w:numId w:val="2"/>
        </w:numPr>
        <w:spacing w:after="60"/>
      </w:pPr>
      <w:r>
        <w:rPr>
          <w:b/>
          <w:bCs/>
        </w:rPr>
        <w:t xml:space="preserve">Suitable monitoring and measuring resources — </w:t>
      </w:r>
      <w:r>
        <w:t xml:space="preserve"> Calibrated M&amp;TE per QMS-PRO-006.</w:t>
      </w:r>
    </w:p>
    <w:p>
      <w:pPr>
        <w:pStyle w:val="ListParagraph"/>
        <w:numPr>
          <w:ilvl w:val="0"/>
          <w:numId w:val="2"/>
        </w:numPr>
        <w:spacing w:after="60"/>
      </w:pPr>
      <w:r>
        <w:rPr>
          <w:b/>
          <w:bCs/>
        </w:rPr>
        <w:t xml:space="preserve">Suitable infrastructure and environment — </w:t>
      </w:r>
      <w:r>
        <w:t xml:space="preserve"> Workshop conditions, lighting, ventilation, equipment in good order.</w:t>
      </w:r>
    </w:p>
    <w:p>
      <w:pPr>
        <w:pStyle w:val="ListParagraph"/>
        <w:numPr>
          <w:ilvl w:val="0"/>
          <w:numId w:val="2"/>
        </w:numPr>
        <w:spacing w:after="60"/>
      </w:pPr>
      <w:r>
        <w:rPr>
          <w:b/>
          <w:bCs/>
        </w:rPr>
        <w:t xml:space="preserve">Competent personnel — </w:t>
      </w:r>
      <w:r>
        <w:t xml:space="preserve"> Trained and qualified per QMS-REG-TRN-001.</w:t>
      </w:r>
    </w:p>
    <w:p>
      <w:pPr>
        <w:pStyle w:val="ListParagraph"/>
        <w:numPr>
          <w:ilvl w:val="0"/>
          <w:numId w:val="2"/>
        </w:numPr>
        <w:spacing w:after="60"/>
      </w:pPr>
      <w:r>
        <w:rPr>
          <w:b/>
          <w:bCs/>
        </w:rPr>
        <w:t xml:space="preserve">Validation of processes — </w:t>
      </w:r>
      <w:r>
        <w:t xml:space="preserve"> Where output cannot be fully verified by inspection (e.g. welding), the process is qualified and personnel are certified.</w:t>
      </w:r>
    </w:p>
    <w:p>
      <w:pPr>
        <w:pStyle w:val="ListParagraph"/>
        <w:numPr>
          <w:ilvl w:val="0"/>
          <w:numId w:val="2"/>
        </w:numPr>
        <w:spacing w:after="60"/>
      </w:pPr>
      <w:r>
        <w:rPr>
          <w:b/>
          <w:bCs/>
        </w:rPr>
        <w:t xml:space="preserve">Implementation of monitoring — </w:t>
      </w:r>
      <w:r>
        <w:t xml:space="preserve"> Hold points, witness points, in-process checks.</w:t>
      </w:r>
    </w:p>
    <w:p>
      <w:pPr>
        <w:pStyle w:val="ListParagraph"/>
        <w:numPr>
          <w:ilvl w:val="0"/>
          <w:numId w:val="2"/>
        </w:numPr>
        <w:spacing w:after="60"/>
      </w:pPr>
      <w:r>
        <w:rPr>
          <w:b/>
          <w:bCs/>
        </w:rPr>
        <w:t xml:space="preserve">Defined release criteria — </w:t>
      </w:r>
      <w:r>
        <w:t xml:space="preserve"> Acceptance standards documented per product type.</w:t>
      </w:r>
    </w:p>
    <w:p>
      <w:pPr>
        <w:pStyle w:val="Heading1"/>
        <w:spacing w:after="160" w:before="280"/>
      </w:pPr>
      <w:r>
        <w:t xml:space="preserve">4. Identification and Traceability (Cl. 8.5.2)</w:t>
      </w:r>
    </w:p>
    <w:p>
      <w:pPr>
        <w:spacing w:after="120"/>
      </w:pPr>
      <w:r>
        <w:t xml:space="preserve">Product is identified throughout production. Where traceability is a requirement (regulatory, customer or risk-based), unique identification is maintained:</w:t>
      </w:r>
    </w:p>
    <w:p>
      <w:pPr>
        <w:pStyle w:val="ListParagraph"/>
        <w:numPr>
          <w:ilvl w:val="0"/>
          <w:numId w:val="2"/>
        </w:numPr>
        <w:spacing w:after="60"/>
      </w:pPr>
      <w:r>
        <w:rPr>
          <w:b/>
          <w:bCs/>
        </w:rPr>
        <w:t xml:space="preserve">Materials — </w:t>
      </w:r>
      <w:r>
        <w:t xml:space="preserve"> Heat number, mill cert reference, supplier lot maintained from receipt through to final product.</w:t>
      </w:r>
    </w:p>
    <w:p>
      <w:pPr>
        <w:pStyle w:val="ListParagraph"/>
        <w:numPr>
          <w:ilvl w:val="0"/>
          <w:numId w:val="2"/>
        </w:numPr>
        <w:spacing w:after="60"/>
      </w:pPr>
      <w:r>
        <w:rPr>
          <w:b/>
          <w:bCs/>
        </w:rPr>
        <w:t xml:space="preserve">Welds — </w:t>
      </w:r>
      <w:r>
        <w:t xml:space="preserve"> Welder ID, WPS reference, weld map maintained on welded fabrications.</w:t>
      </w:r>
    </w:p>
    <w:p>
      <w:pPr>
        <w:pStyle w:val="ListParagraph"/>
        <w:numPr>
          <w:ilvl w:val="0"/>
          <w:numId w:val="2"/>
        </w:numPr>
        <w:spacing w:after="60"/>
      </w:pPr>
      <w:r>
        <w:rPr>
          <w:b/>
          <w:bCs/>
        </w:rPr>
        <w:t xml:space="preserve">Sub-assemblies — </w:t>
      </w:r>
      <w:r>
        <w:t xml:space="preserve"> Job number, item number, drawing reference marked or tagged.</w:t>
      </w:r>
    </w:p>
    <w:p>
      <w:pPr>
        <w:pStyle w:val="ListParagraph"/>
        <w:numPr>
          <w:ilvl w:val="0"/>
          <w:numId w:val="2"/>
        </w:numPr>
        <w:spacing w:after="60"/>
      </w:pPr>
      <w:r>
        <w:rPr>
          <w:b/>
          <w:bCs/>
        </w:rPr>
        <w:t xml:space="preserve">Finished product — </w:t>
      </w:r>
      <w:r>
        <w:t xml:space="preserve"> Job number and certificate of conformance reference applied to delivery.</w:t>
      </w:r>
    </w:p>
    <w:p>
      <w:pPr>
        <w:spacing w:after="120"/>
      </w:pPr>
      <w:r>
        <w:t xml:space="preserve">Traceability records are linked through the job file from raw material receipt to final delivery.</w:t>
      </w:r>
    </w:p>
    <w:p>
      <w:pPr>
        <w:pStyle w:val="Heading1"/>
        <w:spacing w:after="160" w:before="280"/>
      </w:pPr>
      <w:r>
        <w:t xml:space="preserve">5. Property Belonging to Customers and External Providers (Cl. 8.5.3)</w:t>
      </w:r>
    </w:p>
    <w:p>
      <w:pPr>
        <w:spacing w:after="120"/>
      </w:pPr>
      <w:r>
        <w:t xml:space="preserve">Where customer-supplied property or supplier property is used in production:</w:t>
      </w:r>
    </w:p>
    <w:p>
      <w:pPr>
        <w:pStyle w:val="ListParagraph"/>
        <w:numPr>
          <w:ilvl w:val="0"/>
          <w:numId w:val="2"/>
        </w:numPr>
        <w:spacing w:after="60"/>
      </w:pPr>
      <w:r>
        <w:t xml:space="preserve">Property is verified on receipt — quantity, condition, identification.</w:t>
      </w:r>
    </w:p>
    <w:p>
      <w:pPr>
        <w:pStyle w:val="ListParagraph"/>
        <w:numPr>
          <w:ilvl w:val="0"/>
          <w:numId w:val="2"/>
        </w:numPr>
        <w:spacing w:after="60"/>
      </w:pPr>
      <w:r>
        <w:t xml:space="preserve">Property is identified and segregated — clearly marked as customer property.</w:t>
      </w:r>
    </w:p>
    <w:p>
      <w:pPr>
        <w:pStyle w:val="ListParagraph"/>
        <w:numPr>
          <w:ilvl w:val="0"/>
          <w:numId w:val="2"/>
        </w:numPr>
        <w:spacing w:after="60"/>
      </w:pPr>
      <w:r>
        <w:t xml:space="preserve">Property is protected during storage, handling and use.</w:t>
      </w:r>
    </w:p>
    <w:p>
      <w:pPr>
        <w:pStyle w:val="ListParagraph"/>
        <w:numPr>
          <w:ilvl w:val="0"/>
          <w:numId w:val="2"/>
        </w:numPr>
        <w:spacing w:after="60"/>
      </w:pPr>
      <w:r>
        <w:t xml:space="preserve">Loss, damage or unsuitability is notified to the customer in writing without delay.</w:t>
      </w:r>
    </w:p>
    <w:p>
      <w:pPr>
        <w:pStyle w:val="ListParagraph"/>
        <w:numPr>
          <w:ilvl w:val="0"/>
          <w:numId w:val="2"/>
        </w:numPr>
        <w:spacing w:after="60"/>
      </w:pPr>
      <w:r>
        <w:t xml:space="preserve">Property records are maintained — receipt, use, return.</w:t>
      </w:r>
    </w:p>
    <w:p>
      <w:pPr>
        <w:pStyle w:val="Heading1"/>
        <w:spacing w:after="160" w:before="280"/>
      </w:pPr>
      <w:r>
        <w:t xml:space="preserve">6. Preservation (Cl. 8.5.4)</w:t>
      </w:r>
    </w:p>
    <w:p>
      <w:pPr>
        <w:spacing w:after="120"/>
      </w:pPr>
      <w:r>
        <w:t xml:space="preserve">Product is preserved during processing, storage, handling and delivery to maintain conformance to requirements:</w:t>
      </w:r>
    </w:p>
    <w:p>
      <w:pPr>
        <w:pStyle w:val="ListParagraph"/>
        <w:numPr>
          <w:ilvl w:val="0"/>
          <w:numId w:val="2"/>
        </w:numPr>
        <w:spacing w:after="60"/>
      </w:pPr>
      <w:r>
        <w:rPr>
          <w:b/>
          <w:bCs/>
        </w:rPr>
        <w:t xml:space="preserve">Handling — </w:t>
      </w:r>
      <w:r>
        <w:t xml:space="preserve"> Lifting points marked; rigging procedures followed; mechanical aids used.</w:t>
      </w:r>
    </w:p>
    <w:p>
      <w:pPr>
        <w:pStyle w:val="ListParagraph"/>
        <w:numPr>
          <w:ilvl w:val="0"/>
          <w:numId w:val="2"/>
        </w:numPr>
        <w:spacing w:after="60"/>
      </w:pPr>
      <w:r>
        <w:rPr>
          <w:b/>
          <w:bCs/>
        </w:rPr>
        <w:t xml:space="preserve">Storage — </w:t>
      </w:r>
      <w:r>
        <w:t xml:space="preserve"> Designated storage areas; segregation of dissimilar materials; protection from weather and damage.</w:t>
      </w:r>
    </w:p>
    <w:p>
      <w:pPr>
        <w:pStyle w:val="ListParagraph"/>
        <w:numPr>
          <w:ilvl w:val="0"/>
          <w:numId w:val="2"/>
        </w:numPr>
        <w:spacing w:after="60"/>
      </w:pPr>
      <w:r>
        <w:rPr>
          <w:b/>
          <w:bCs/>
        </w:rPr>
        <w:t xml:space="preserve">Packaging — </w:t>
      </w:r>
      <w:r>
        <w:t xml:space="preserve"> Suitable to the product, the transport mode and the destination conditions.</w:t>
      </w:r>
    </w:p>
    <w:p>
      <w:pPr>
        <w:pStyle w:val="ListParagraph"/>
        <w:numPr>
          <w:ilvl w:val="0"/>
          <w:numId w:val="2"/>
        </w:numPr>
        <w:spacing w:after="60"/>
      </w:pPr>
      <w:r>
        <w:rPr>
          <w:b/>
          <w:bCs/>
        </w:rPr>
        <w:t xml:space="preserve">Identification — </w:t>
      </w:r>
      <w:r>
        <w:t xml:space="preserve"> Maintained throughout storage and transport.</w:t>
      </w:r>
    </w:p>
    <w:p>
      <w:pPr>
        <w:pStyle w:val="ListParagraph"/>
        <w:numPr>
          <w:ilvl w:val="0"/>
          <w:numId w:val="2"/>
        </w:numPr>
        <w:spacing w:after="60"/>
      </w:pPr>
      <w:r>
        <w:rPr>
          <w:b/>
          <w:bCs/>
        </w:rPr>
        <w:t xml:space="preserve">Protection — </w:t>
      </w:r>
      <w:r>
        <w:t xml:space="preserve"> Surface protection (e.g. covers, coatings) maintained.</w:t>
      </w:r>
    </w:p>
    <w:p>
      <w:pPr>
        <w:pStyle w:val="Heading1"/>
        <w:spacing w:after="160" w:before="280"/>
      </w:pPr>
      <w:r>
        <w:t xml:space="preserve">7. Post-Delivery Activities (Cl. 8.5.5)</w:t>
      </w:r>
    </w:p>
    <w:p>
      <w:pPr>
        <w:spacing w:after="120"/>
      </w:pPr>
      <w:r>
        <w:t xml:space="preserve">Post-delivery activities — warranty, maintenance, recall — are managed as follows:</w:t>
      </w:r>
    </w:p>
    <w:p>
      <w:pPr>
        <w:pStyle w:val="ListParagraph"/>
        <w:numPr>
          <w:ilvl w:val="0"/>
          <w:numId w:val="2"/>
        </w:numPr>
        <w:spacing w:after="60"/>
      </w:pPr>
      <w:r>
        <w:t xml:space="preserve">Warranty obligations are tracked from contract documentation.</w:t>
      </w:r>
    </w:p>
    <w:p>
      <w:pPr>
        <w:pStyle w:val="ListParagraph"/>
        <w:numPr>
          <w:ilvl w:val="0"/>
          <w:numId w:val="2"/>
        </w:numPr>
        <w:spacing w:after="60"/>
      </w:pPr>
      <w:r>
        <w:t xml:space="preserve">Customer-reported issues post-delivery are managed through QMS-PRO-002 Complaints.</w:t>
      </w:r>
    </w:p>
    <w:p>
      <w:pPr>
        <w:pStyle w:val="ListParagraph"/>
        <w:numPr>
          <w:ilvl w:val="0"/>
          <w:numId w:val="2"/>
        </w:numPr>
        <w:spacing w:after="60"/>
      </w:pPr>
      <w:r>
        <w:t xml:space="preserve">Recall risk is assessed for delivered product when an NC is identified post-delivery.</w:t>
      </w:r>
    </w:p>
    <w:p>
      <w:pPr>
        <w:pStyle w:val="ListParagraph"/>
        <w:numPr>
          <w:ilvl w:val="0"/>
          <w:numId w:val="2"/>
        </w:numPr>
        <w:spacing w:after="60"/>
      </w:pPr>
      <w:r>
        <w:t xml:space="preserve">Service activities at customer sites are governed by the same QMS controls as on-site work.</w:t>
      </w:r>
    </w:p>
    <w:p>
      <w:pPr>
        <w:pStyle w:val="Heading1"/>
        <w:spacing w:after="160" w:before="280"/>
      </w:pPr>
      <w:r>
        <w:t xml:space="preserve">8. Control of Changes (Cl. 8.5.6)</w:t>
      </w:r>
    </w:p>
    <w:p>
      <w:pPr>
        <w:spacing w:after="120"/>
      </w:pPr>
      <w:r>
        <w:t xml:space="preserve">Changes to production processes during delivery are controlled:</w:t>
      </w:r>
    </w:p>
    <w:p>
      <w:pPr>
        <w:pStyle w:val="ListParagraph"/>
        <w:numPr>
          <w:ilvl w:val="0"/>
          <w:numId w:val="2"/>
        </w:numPr>
        <w:spacing w:after="60"/>
      </w:pPr>
      <w:r>
        <w:t xml:space="preserve">Process changes affecting product conformance require Quality Manager approval.</w:t>
      </w:r>
    </w:p>
    <w:p>
      <w:pPr>
        <w:pStyle w:val="ListParagraph"/>
        <w:numPr>
          <w:ilvl w:val="0"/>
          <w:numId w:val="2"/>
        </w:numPr>
        <w:spacing w:after="60"/>
      </w:pPr>
      <w:r>
        <w:t xml:space="preserve">Changes affecting customer-defined requirements require customer notification.</w:t>
      </w:r>
    </w:p>
    <w:p>
      <w:pPr>
        <w:pStyle w:val="ListParagraph"/>
        <w:numPr>
          <w:ilvl w:val="0"/>
          <w:numId w:val="2"/>
        </w:numPr>
        <w:spacing w:after="60"/>
      </w:pPr>
      <w:r>
        <w:t xml:space="preserve">Change records identify: what changed, why, who approved, when effective.</w:t>
      </w:r>
    </w:p>
    <w:p>
      <w:pPr>
        <w:pStyle w:val="ListParagraph"/>
        <w:numPr>
          <w:ilvl w:val="0"/>
          <w:numId w:val="2"/>
        </w:numPr>
        <w:spacing w:after="60"/>
      </w:pPr>
      <w:r>
        <w:t xml:space="preserve">Affected ITPs, work instructions and inspection criteria are updated before the change is applied.</w:t>
      </w:r>
    </w:p>
    <w:p>
      <w:pPr>
        <w:pStyle w:val="Heading1"/>
        <w:spacing w:after="160" w:before="280"/>
      </w:pPr>
      <w:r>
        <w:t xml:space="preserve">9. Inspection and Test Plans (ITPs)</w:t>
      </w:r>
    </w:p>
    <w:p>
      <w:pPr>
        <w:spacing w:after="120"/>
      </w:pPr>
      <w:r>
        <w:t xml:space="preserve">For each project or product type, an ITP defines:</w:t>
      </w:r>
    </w:p>
    <w:p>
      <w:pPr>
        <w:pStyle w:val="ListParagraph"/>
        <w:numPr>
          <w:ilvl w:val="0"/>
          <w:numId w:val="2"/>
        </w:numPr>
        <w:spacing w:after="60"/>
      </w:pPr>
      <w:r>
        <w:t xml:space="preserve">Stages of inspection from material receipt to final acceptance.</w:t>
      </w:r>
    </w:p>
    <w:p>
      <w:pPr>
        <w:pStyle w:val="ListParagraph"/>
        <w:numPr>
          <w:ilvl w:val="0"/>
          <w:numId w:val="2"/>
        </w:numPr>
        <w:spacing w:after="60"/>
      </w:pPr>
      <w:r>
        <w:t xml:space="preserve">Inspection criteria, acceptance limits and measurement methods.</w:t>
      </w:r>
    </w:p>
    <w:p>
      <w:pPr>
        <w:pStyle w:val="ListParagraph"/>
        <w:numPr>
          <w:ilvl w:val="0"/>
          <w:numId w:val="2"/>
        </w:numPr>
        <w:spacing w:after="60"/>
      </w:pPr>
      <w:r>
        <w:t xml:space="preserve">Hold points (work cannot proceed until signed) and witness points (customer may attend).</w:t>
      </w:r>
    </w:p>
    <w:p>
      <w:pPr>
        <w:pStyle w:val="ListParagraph"/>
        <w:numPr>
          <w:ilvl w:val="0"/>
          <w:numId w:val="2"/>
        </w:numPr>
        <w:spacing w:after="60"/>
      </w:pPr>
      <w:r>
        <w:t xml:space="preserve">Records to be produced and retained.</w:t>
      </w:r>
    </w:p>
    <w:p>
      <w:pPr>
        <w:pStyle w:val="ListParagraph"/>
        <w:numPr>
          <w:ilvl w:val="0"/>
          <w:numId w:val="2"/>
        </w:numPr>
        <w:spacing w:after="60"/>
      </w:pPr>
      <w:r>
        <w:t xml:space="preserve">Authority to sign off each stage.</w:t>
      </w:r>
    </w:p>
    <w:p>
      <w:pPr>
        <w:spacing w:after="120"/>
      </w:pPr>
      <w:r>
        <w:t xml:space="preserve">ITPs are reviewed by the Quality Manager and the customer before production commences.</w:t>
      </w:r>
    </w:p>
    <w:p>
      <w:pPr>
        <w:pStyle w:val="Heading1"/>
        <w:spacing w:after="160" w:before="280"/>
      </w:pPr>
      <w:r>
        <w:t xml:space="preserve">10. Release of Products and Services (Cl. 8.6)</w:t>
      </w:r>
    </w:p>
    <w:p>
      <w:pPr>
        <w:spacing w:after="120"/>
      </w:pPr>
      <w:r>
        <w:t xml:space="preserve">Products and services are released to the customer only when:</w:t>
      </w:r>
    </w:p>
    <w:p>
      <w:pPr>
        <w:pStyle w:val="ListParagraph"/>
        <w:numPr>
          <w:ilvl w:val="0"/>
          <w:numId w:val="2"/>
        </w:numPr>
        <w:spacing w:after="60"/>
      </w:pPr>
      <w:r>
        <w:t xml:space="preserve">All planned arrangements (per the ITP) have been completed satisfactorily — every hold point signed.</w:t>
      </w:r>
    </w:p>
    <w:p>
      <w:pPr>
        <w:pStyle w:val="ListParagraph"/>
        <w:numPr>
          <w:ilvl w:val="0"/>
          <w:numId w:val="2"/>
        </w:numPr>
        <w:spacing w:after="60"/>
      </w:pPr>
      <w:r>
        <w:t xml:space="preserve">Evidence of conformance to acceptance criteria is documented and traceable to the product.</w:t>
      </w:r>
    </w:p>
    <w:p>
      <w:pPr>
        <w:pStyle w:val="ListParagraph"/>
        <w:numPr>
          <w:ilvl w:val="0"/>
          <w:numId w:val="2"/>
        </w:numPr>
        <w:spacing w:after="60"/>
      </w:pPr>
      <w:r>
        <w:t xml:space="preserve">Documented information identifies the person authorising release.</w:t>
      </w:r>
    </w:p>
    <w:p>
      <w:pPr>
        <w:pStyle w:val="ListParagraph"/>
        <w:numPr>
          <w:ilvl w:val="0"/>
          <w:numId w:val="2"/>
        </w:numPr>
        <w:spacing w:after="60"/>
      </w:pPr>
      <w:r>
        <w:t xml:space="preserve">Any concessions are formally recorded with customer approval where required.</w:t>
      </w:r>
    </w:p>
    <w:p>
      <w:pPr>
        <w:pStyle w:val="ListParagraph"/>
        <w:numPr>
          <w:ilvl w:val="0"/>
          <w:numId w:val="2"/>
        </w:numPr>
        <w:spacing w:after="60"/>
      </w:pPr>
      <w:r>
        <w:t xml:space="preserve">A Certificate of Conformance (QMS-FRM-COC-001) is prepared where contract requires.</w:t>
      </w:r>
    </w:p>
    <w:p>
      <w:pPr>
        <w:pStyle w:val="Heading1"/>
        <w:spacing w:after="160" w:before="280"/>
      </w:pPr>
      <w:r>
        <w:t xml:space="preserve">11. Authority to Release</w:t>
      </w:r>
    </w:p>
    <w:p>
      <w:pPr>
        <w:pStyle w:val="ListParagraph"/>
        <w:numPr>
          <w:ilvl w:val="0"/>
          <w:numId w:val="2"/>
        </w:numPr>
        <w:spacing w:after="60"/>
      </w:pPr>
      <w:r>
        <w:t xml:space="preserve">Standard product release: QA Inspector or Quality Manager.</w:t>
      </w:r>
    </w:p>
    <w:p>
      <w:pPr>
        <w:pStyle w:val="ListParagraph"/>
        <w:numPr>
          <w:ilvl w:val="0"/>
          <w:numId w:val="2"/>
        </w:numPr>
        <w:spacing w:after="60"/>
      </w:pPr>
      <w:r>
        <w:t xml:space="preserve">Release with open concession: Quality Manager only.</w:t>
      </w:r>
    </w:p>
    <w:p>
      <w:pPr>
        <w:pStyle w:val="ListParagraph"/>
        <w:numPr>
          <w:ilvl w:val="0"/>
          <w:numId w:val="2"/>
        </w:numPr>
        <w:spacing w:after="60"/>
      </w:pPr>
      <w:r>
        <w:t xml:space="preserve">Release of product known to have NCR: Quality Manager + customer approval.</w:t>
      </w:r>
    </w:p>
    <w:p>
      <w:pPr>
        <w:pStyle w:val="ListParagraph"/>
        <w:numPr>
          <w:ilvl w:val="0"/>
          <w:numId w:val="2"/>
        </w:numPr>
        <w:spacing w:after="60"/>
      </w:pPr>
      <w:r>
        <w:t xml:space="preserve">Release of product &gt; $[X] value: Quality Manager + Operations Manager joint sign-off.</w:t>
      </w:r>
    </w:p>
    <w:p>
      <w:pPr>
        <w:pStyle w:val="Heading1"/>
        <w:spacing w:after="160" w:before="280"/>
      </w:pPr>
      <w:r>
        <w:t xml:space="preserve">12. Pre-Release Checklist</w:t>
      </w:r>
    </w:p>
    <w:p>
      <w:pPr>
        <w:spacing w:after="120"/>
      </w:pPr>
      <w:r>
        <w:t xml:space="preserve">Before signing the COC and authorising release, the QA Inspector confirms:</w:t>
      </w:r>
    </w:p>
    <w:p>
      <w:pPr>
        <w:pStyle w:val="ListParagraph"/>
        <w:numPr>
          <w:ilvl w:val="0"/>
          <w:numId w:val="2"/>
        </w:numPr>
        <w:spacing w:after="60"/>
      </w:pPr>
      <w:r>
        <w:t xml:space="preserve">All ITP stages completed and signed.</w:t>
      </w:r>
    </w:p>
    <w:p>
      <w:pPr>
        <w:pStyle w:val="ListParagraph"/>
        <w:numPr>
          <w:ilvl w:val="0"/>
          <w:numId w:val="2"/>
        </w:numPr>
        <w:spacing w:after="60"/>
      </w:pPr>
      <w:r>
        <w:t xml:space="preserve">All NCRs raised on the product are closed with documented disposition.</w:t>
      </w:r>
    </w:p>
    <w:p>
      <w:pPr>
        <w:pStyle w:val="ListParagraph"/>
        <w:numPr>
          <w:ilvl w:val="0"/>
          <w:numId w:val="2"/>
        </w:numPr>
        <w:spacing w:after="60"/>
      </w:pPr>
      <w:r>
        <w:t xml:space="preserve">All open concessions have customer approval.</w:t>
      </w:r>
    </w:p>
    <w:p>
      <w:pPr>
        <w:pStyle w:val="ListParagraph"/>
        <w:numPr>
          <w:ilvl w:val="0"/>
          <w:numId w:val="2"/>
        </w:numPr>
        <w:spacing w:after="60"/>
      </w:pPr>
      <w:r>
        <w:t xml:space="preserve">Mill certificates and traceability records are complete.</w:t>
      </w:r>
    </w:p>
    <w:p>
      <w:pPr>
        <w:pStyle w:val="ListParagraph"/>
        <w:numPr>
          <w:ilvl w:val="0"/>
          <w:numId w:val="2"/>
        </w:numPr>
        <w:spacing w:after="60"/>
      </w:pPr>
      <w:r>
        <w:t xml:space="preserve">Dimensional records and inspection reports are filed.</w:t>
      </w:r>
    </w:p>
    <w:p>
      <w:pPr>
        <w:pStyle w:val="ListParagraph"/>
        <w:numPr>
          <w:ilvl w:val="0"/>
          <w:numId w:val="2"/>
        </w:numPr>
        <w:spacing w:after="60"/>
      </w:pPr>
      <w:r>
        <w:t xml:space="preserve">Required test records (NDT, pressure test, function test) are filed.</w:t>
      </w:r>
    </w:p>
    <w:p>
      <w:pPr>
        <w:pStyle w:val="ListParagraph"/>
        <w:numPr>
          <w:ilvl w:val="0"/>
          <w:numId w:val="2"/>
        </w:numPr>
        <w:spacing w:after="60"/>
      </w:pPr>
      <w:r>
        <w:t xml:space="preserve">Welder qualifications applicable to the work are current.</w:t>
      </w:r>
    </w:p>
    <w:p>
      <w:pPr>
        <w:pStyle w:val="ListParagraph"/>
        <w:numPr>
          <w:ilvl w:val="0"/>
          <w:numId w:val="2"/>
        </w:numPr>
        <w:spacing w:after="60"/>
      </w:pPr>
      <w:r>
        <w:t xml:space="preserve">Calibration certificates for M&amp;TE used are current.</w:t>
      </w:r>
    </w:p>
    <w:p>
      <w:pPr>
        <w:pStyle w:val="ListParagraph"/>
        <w:numPr>
          <w:ilvl w:val="0"/>
          <w:numId w:val="2"/>
        </w:numPr>
        <w:spacing w:after="60"/>
      </w:pPr>
      <w:r>
        <w:t xml:space="preserve">Packaging and labelling per contract requirements.</w:t>
      </w:r>
    </w:p>
    <w:p>
      <w:pPr>
        <w:pStyle w:val="ListParagraph"/>
        <w:numPr>
          <w:ilvl w:val="0"/>
          <w:numId w:val="2"/>
        </w:numPr>
        <w:spacing w:after="60"/>
      </w:pPr>
      <w:r>
        <w:t xml:space="preserve">Delivery documentation complete (packing list, COC, manuals where applicable).</w:t>
      </w:r>
    </w:p>
    <w:p>
      <w:pPr>
        <w:pStyle w:val="Heading1"/>
        <w:spacing w:after="160" w:before="280"/>
      </w:pPr>
      <w:r>
        <w:t xml:space="preserve">13. Records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ITPs — completed and signed</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Filed with job file. Retained 7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Inspection and test records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Filed with job file. Retained 7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Material traceability records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Heat numbers, mill certs filed with job file. Retained 7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Weld records (where applicable)</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Welder ID, WPS, NDT cross-referenced. Retained 7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Certificates of Conformance issued</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QMS-FRM-COC-001. Retained 7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Customer property records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Receipt, use, return. Retained while property in use + 3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Change records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Filed with job file.</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Delivery documentation</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Packing lists, freight records, customer acceptance signatures. Retained 7 years.</w:t>
            </w:r>
          </w:p>
        </w:tc>
      </w:tr>
    </w:tbl>
    <w:p>
      <w:pPr>
        <w:pStyle w:val="Heading1"/>
        <w:spacing w:after="160" w:before="280"/>
      </w:pPr>
      <w:r>
        <w:t xml:space="preserve">14. Related Documents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Document No.</w:t>
            </w:r>
          </w:p>
        </w:tc>
        <w:tc>
          <w:tcPr>
            <w:tcW w:type="dxa" w:w="636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Title</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QMS-PRO-001</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Customer Requirements &amp; Contract Review</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QMS-PRO-003</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Control of Nonconforming Outputs</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QMS-PRO-004</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Supplier Evaluation and Management</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QMS-PRO-006</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Calibration and Measuring Equipment</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QMS-REG-TRN-001</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Training and Competence Matrix</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QMS-FRM-COC-001</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Certificate of Conformance</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QMS-FRM-NCR-001</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Nonconformance Report Form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Role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Name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Signature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Date</w:t>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Operations Manager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Managing Director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8F00" w:sz="12"/>
              <w:left w:val="single" w:color="BF8F00" w:sz="12"/>
              <w:bottom w:val="single" w:color="BF8F00" w:sz="4"/>
              <w:right w:val="single" w:color="BF8F00" w:sz="12"/>
            </w:tcBorders>
            <w:shd w:fill="BF8F00" w:val="clear"/>
            <w:tcMar>
              <w:top w:type="dxa" w:w="120"/>
              <w:left w:type="dxa" w:w="200"/>
              <w:bottom w:type="dxa" w:w="120"/>
              <w:right w:type="dxa" w:w="200"/>
            </w:tcMar>
          </w:tcPr>
          <w:p>
            <w:r>
              <w:rPr>
                <w:b/>
                <w:bCs/>
                <w:color w:val="FFFFFF"/>
                <w:sz w:val="22"/>
                <w:szCs w:val="22"/>
              </w:rPr>
              <w:t xml:space="preserve">✎  HOW TO COMPLETE THIS DOCUMENT  —  DELETE THIS SECTION BEFORE PUBLISHING</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i/>
                <w:iCs/>
                <w:color w:val="806000"/>
                <w:sz w:val="20"/>
                <w:szCs w:val="20"/>
              </w:rPr>
              <w:t xml:space="preserve">Use these notes to tailor, complete and finalise this document before publication. Delete this section once done.</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1. Set the high-value release threshold in §11</w:t>
            </w:r>
          </w:p>
          <w:p>
            <w:r>
              <w:rPr>
                <w:color w:val="806000"/>
                <w:sz w:val="20"/>
                <w:szCs w:val="20"/>
              </w:rPr>
              <w:t xml:space="preserve">Replace [X] with the dollar value above which dual sign-off is required. Suggested $250,000.</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2. Develop ITP templates for each product type</w:t>
            </w:r>
          </w:p>
          <w:p>
            <w:r>
              <w:rPr>
                <w:color w:val="806000"/>
                <w:sz w:val="20"/>
                <w:szCs w:val="20"/>
              </w:rPr>
              <w:t xml:space="preserve">Build standard ITP templates for your main product lines. ITPs are project-specific but templates speed setup. Reference them from this procedure.</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3. Confirm the Pre-Release Checklist is usable</w:t>
            </w:r>
          </w:p>
          <w:p>
            <w:r>
              <w:rPr>
                <w:color w:val="806000"/>
                <w:sz w:val="20"/>
                <w:szCs w:val="20"/>
              </w:rPr>
              <w:t xml:space="preserve">Walk Section 12 with the QA Inspector. Confirm each item is checkable. Adjust to fit your actual workflow.</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4. Train production and QA staff</w:t>
            </w:r>
          </w:p>
          <w:p>
            <w:r>
              <w:rPr>
                <w:color w:val="806000"/>
                <w:sz w:val="20"/>
                <w:szCs w:val="20"/>
              </w:rPr>
              <w:t xml:space="preserve">Hold-point and witness-point discipline is the single biggest source of audit findings. Run a focused training session before publication.</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5. Set up the traceability system</w:t>
            </w:r>
          </w:p>
          <w:p>
            <w:r>
              <w:rPr>
                <w:color w:val="806000"/>
                <w:sz w:val="20"/>
                <w:szCs w:val="20"/>
              </w:rPr>
              <w:t xml:space="preserve">Section 4 requires heat-number traceability through to final product. Confirm the system (paper or portal) is in place.</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6. Verify customer property handling area</w:t>
            </w:r>
          </w:p>
          <w:p>
            <w:r>
              <w:rPr>
                <w:color w:val="806000"/>
                <w:sz w:val="20"/>
                <w:szCs w:val="20"/>
              </w:rPr>
              <w:t xml:space="preserve">Section 5 requires segregation and identification of customer property. Walk the workshop and confirm.</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7. Confirm preservation standards</w:t>
            </w:r>
          </w:p>
          <w:p>
            <w:r>
              <w:rPr>
                <w:color w:val="806000"/>
                <w:sz w:val="20"/>
                <w:szCs w:val="20"/>
              </w:rPr>
              <w:t xml:space="preserve">Section 6 requires storage standards. Walk the storage areas with Operations Manager and document the standards.</w:t>
            </w:r>
          </w:p>
        </w:tc>
      </w:tr>
      <w:tr>
        <w:tc>
          <w:tcPr>
            <w:tcW w:type="dxa" w:w="9360"/>
            <w:tcBorders>
              <w:top w:val="none"/>
              <w:left w:val="single" w:color="BF8F00" w:sz="12"/>
              <w:bottom w:val="single" w:color="BF8F00" w:sz="12"/>
              <w:right w:val="single" w:color="BF8F00" w:sz="12"/>
            </w:tcBorders>
            <w:shd w:fill="FFF2CC" w:val="clear"/>
            <w:tcMar>
              <w:top w:type="dxa" w:w="120"/>
              <w:left w:type="dxa" w:w="200"/>
              <w:bottom w:type="dxa" w:w="120"/>
              <w:right w:type="dxa" w:w="200"/>
            </w:tcMar>
          </w:tcPr>
          <w:p>
            <w:r>
              <w:rPr>
                <w:b/>
                <w:bCs/>
                <w:color w:val="806000"/>
                <w:sz w:val="20"/>
                <w:szCs w:val="20"/>
              </w:rPr>
              <w:t xml:space="preserve">8. DELETE this guidance section before publishing</w:t>
            </w:r>
          </w:p>
          <w:p>
            <w:r>
              <w:rPr>
                <w:color w:val="806000"/>
                <w:sz w:val="20"/>
                <w:szCs w:val="20"/>
              </w:rPr>
              <w:t xml:space="preserve">Select the entire yellow-bordered block and delete.</w:t>
            </w:r>
          </w:p>
        </w:tc>
      </w:tr>
    </w:tbl>
    <w:p>
      <w:pPr>
        <w:spacing w:after="120"/>
      </w:pPr>
      <w:r>
        <w:t xml:space="preserve">QMS-PRO-005  •  Rev 2.0	CONTROLLED DOCUMENT — verify currency before use	Page  of</w:t>
      </w:r>
    </w:p>
    <w:sectPr>
      <w:headerReference w:type="default" r:id="rId7"/>
      <w:footerReference w:type="default" r:id="rId8"/>
      <w:pgSz w:w="11906" w:h="16838"/>
      <w:pgMar w:top="1700" w:right="1440" w:bottom="1440" w:left="1440"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p>
    <w:pPr>
      <w:pBdr>
        <w:top w:val="single" w:color="BFBFBF" w:sz="4" w:space="4"/>
      </w:pBdr>
      <w:tabs>
        <w:tab w:val="center" w:pos="4680"/>
        <w:tab w:val="right" w:pos="9360"/>
      </w:tabs>
    </w:pPr>
    <w:r>
      <w:rPr>
        <w:color w:val="595959"/>
        <w:sz w:val="16"/>
        <w:szCs w:val="16"/>
      </w:rPr>
      <w:t xml:space="preserve">QMS-PRO-005  •  Rev 2.0</w:t>
    </w:r>
    <w:r>
      <w:rPr>
        <w:sz w:val="16"/>
        <w:szCs w:val="16"/>
      </w:rPr>
      <w:t>	</w:t>
    </w:r>
    <w:r>
      <w:rPr>
        <w:i/>
        <w:iCs/>
        <w:color w:val="595959"/>
        <w:sz w:val="16"/>
        <w:szCs w:val="16"/>
      </w:rPr>
      <w:t xml:space="preserve">CONTROLLED DOCUMENT — verify currency before use</w:t>
    </w:r>
    <w:r>
      <w:rPr>
        <w:sz w:val="16"/>
        <w:szCs w:val="16"/>
      </w:rPr>
      <w:t>	</w:t>
    </w:r>
    <w:r>
      <w:rPr>
        <w:color w:val="595959"/>
        <w:sz w:val="16"/>
        <w:szCs w:val="16"/>
      </w:rPr>
      <w:t xml:space="preserve">Page </w:t>
    </w:r>
    <w:r>
      <w:rPr>
        <w:color w:val="595959"/>
        <w:sz w:val="16"/>
        <w:szCs w:val="16"/>
      </w:rPr>
      <w:fldChar w:fldCharType="begin"/>
      <w:instrText xml:space="preserve">PAGE</w:instrText>
      <w:fldChar w:fldCharType="separate"/>
      <w:fldChar w:fldCharType="end"/>
    </w:r>
    <w:r>
      <w:rPr>
        <w:color w:val="595959"/>
        <w:sz w:val="16"/>
        <w:szCs w:val="16"/>
      </w:rPr>
      <w:t xml:space="preserve"> of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tbl>
    <w:tblPr>
      <w:tblW w:type="dxa" w:w="9360"/>
      <w:tblBorders>
        <w:top w:val="none" w:sz="0"/>
        <w:left w:val="none" w:sz="0"/>
        <w:bottom w:val="single" w:color="000000" w:sz="8"/>
        <w:right w:val="none" w:sz="0"/>
        <w:insideH w:val="none" w:sz="0"/>
        <w:insideV w:val="none" w:sz="0"/>
      </w:tblBorders>
    </w:tblPr>
    <w:tblGrid>
      <w:gridCol w:w="2400"/>
      <w:gridCol w:w="5160"/>
      <w:gridCol w:w="1800"/>
    </w:tblGrid>
    <w:tr>
      <w:tc>
        <w:tcPr>
          <w:tcW w:type="dxa" w:w="2400"/>
          <w:tcBorders>
            <w:top w:val="none" w:sz="0"/>
            <w:left w:val="none" w:sz="0"/>
            <w:bottom w:val="single" w:color="000000" w:sz="8"/>
            <w:right w:val="none" w:sz="0"/>
          </w:tcBorders>
          <w:tcMar>
            <w:top w:type="dxa" w:w="60"/>
            <w:left w:type="dxa" w:w="80"/>
            <w:bottom w:type="dxa" w:w="80"/>
            <w:right w:type="dxa" w:w="80"/>
          </w:tcMar>
          <w:vAlign w:val="center"/>
        </w:tcPr>
        <w:p>
          <w:r>
            <w:rPr>
              <w:b/>
              <w:bCs/>
              <w:sz w:val="22"/>
              <w:szCs w:val="22"/>
            </w:rPr>
            <w:t xml:space="preserve">[ORGANISATION NAME]</w:t>
          </w:r>
        </w:p>
      </w:tc>
      <w:tc>
        <w:tcPr>
          <w:tcW w:type="dxa" w:w="5160"/>
          <w:tcBorders>
            <w:top w:val="none" w:sz="0"/>
            <w:left w:val="none" w:sz="0"/>
            <w:bottom w:val="single" w:color="000000" w:sz="8"/>
            <w:right w:val="none" w:sz="0"/>
          </w:tcBorders>
          <w:tcMar>
            <w:top w:type="dxa" w:w="60"/>
            <w:left w:type="dxa" w:w="80"/>
            <w:bottom w:type="dxa" w:w="80"/>
            <w:right w:type="dxa" w:w="80"/>
          </w:tcMar>
          <w:vAlign w:val="center"/>
        </w:tcPr>
        <w:p>
          <w:pPr>
            <w:spacing w:after="20"/>
            <w:jc w:val="center"/>
          </w:pPr>
          <w:r>
            <w:rPr>
              <w:b/>
              <w:bCs/>
              <w:sz w:val="20"/>
              <w:szCs w:val="20"/>
            </w:rPr>
            <w:t xml:space="preserve">Product and Service Release Procedure</w:t>
          </w:r>
        </w:p>
        <w:p>
          <w:pPr>
            <w:jc w:val="center"/>
          </w:pPr>
          <w:r>
            <w:rPr>
              <w:i/>
              <w:iCs/>
              <w:color w:val="595959"/>
              <w:sz w:val="16"/>
              <w:szCs w:val="16"/>
            </w:rPr>
            <w:t xml:space="preserve">ISO 9001:2015 — Cl. 8.5 / 8.6</w:t>
          </w:r>
        </w:p>
      </w:tc>
      <w:tc>
        <w:tcPr>
          <w:tcW w:type="dxa" w:w="1800"/>
          <w:tcBorders>
            <w:top w:val="none" w:sz="0"/>
            <w:left w:val="none" w:sz="0"/>
            <w:bottom w:val="single" w:color="000000" w:sz="8"/>
            <w:right w:val="none" w:sz="0"/>
          </w:tcBorders>
          <w:tcMar>
            <w:top w:type="dxa" w:w="60"/>
            <w:left w:type="dxa" w:w="80"/>
            <w:bottom w:type="dxa" w:w="80"/>
            <w:right w:type="dxa" w:w="80"/>
          </w:tcMar>
          <w:vAlign w:val="center"/>
        </w:tcPr>
        <w:p>
          <w:pPr>
            <w:jc w:val="right"/>
          </w:pPr>
          <w:r>
            <w:rPr>
              <w:b/>
              <w:bCs/>
              <w:sz w:val="18"/>
              <w:szCs w:val="18"/>
            </w:rPr>
            <w:t xml:space="preserve">QMS-PRO-005</w:t>
          </w:r>
        </w:p>
      </w:tc>
    </w:tr>
  </w:tbl>
  <w:p>
    <w:pPr>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lvl w:ilvl="1" w15:tentative="1">
      <w:start w:val="1"/>
      <w:numFmt w:val="bullet"/>
      <w:lvlText w:val="○"/>
      <w:lvlJc w:val="left"/>
      <w:pPr>
        <w:ind w:left="1080" w:hanging="270"/>
      </w:pPr>
    </w:lvl>
  </w:abstractNum>
  <w:abstractNum w:abstractNumId="3" w15:restartNumberingAfterBreak="0">
    <w:multiLevelType w:val="hybridMultilevel"/>
    <w:lvl w:ilvl="0" w15:tentative="1">
      <w:start w:val="1"/>
      <w:numFmt w:val="decimal"/>
      <w:lvlText w:val="%1."/>
      <w:lvlJc w:val="left"/>
      <w:pPr>
        <w:ind w:left="540" w:hanging="360"/>
      </w:pPr>
    </w:lvl>
    <w:lvl w:ilvl="1" w15:tentative="1">
      <w:start w:val="1"/>
      <w:numFmt w:val="lowerLetter"/>
      <w:lvlText w:val="%2."/>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Calibri" w:cs="Calibri" w:eastAsia="Calibri" w:hAnsi="Calibri"/>
      <w:b/>
      <w:bCs/>
      <w:color w:val="000000"/>
      <w:sz w:val="30"/>
      <w:szCs w:val="30"/>
    </w:rPr>
  </w:style>
  <w:style w:type="paragraph" w:styleId="Heading2">
    <w:name w:val="Heading 2"/>
    <w:basedOn w:val="Normal"/>
    <w:next w:val="Normal"/>
    <w:qFormat/>
    <w:pPr>
      <w:spacing w:after="100" w:before="200"/>
      <w:outlineLvl w:val="1"/>
    </w:pPr>
    <w:rPr>
      <w:rFonts w:ascii="Calibri" w:cs="Calibri" w:eastAsia="Calibri" w:hAnsi="Calibri"/>
      <w:b/>
      <w:bCs/>
      <w:color w:val="000000"/>
      <w:sz w:val="24"/>
      <w:szCs w:val="24"/>
    </w:rPr>
  </w:style>
  <w:style w:type="paragraph" w:styleId="Heading3">
    <w:name w:val="Heading 3"/>
    <w:basedOn w:val="Normal"/>
    <w:next w:val="Normal"/>
    <w:qFormat/>
    <w:pPr>
      <w:spacing w:after="80" w:before="160"/>
      <w:outlineLvl w:val="2"/>
    </w:pPr>
    <w:rPr>
      <w:rFonts w:ascii="Calibri" w:cs="Calibri" w:eastAsia="Calibri" w:hAnsi="Calibri"/>
      <w:b/>
      <w:bCs/>
      <w:color w:val="00000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8" Type="http://schemas.openxmlformats.org/officeDocument/2006/relationships/footer" Target="footer1.xml"/><Relationship Id="rId3" Type="http://schemas.openxmlformats.org/officeDocument/2006/relationships/footnotes" Target="footnote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customXml" Target="../customXml/item1.xml"/><Relationship Id="rId4" Type="http://schemas.openxmlformats.org/officeDocument/2006/relationships/endnotes" Target="endnotes.xml"/><Relationship Id="rId9" Type="http://schemas.openxmlformats.org/officeDocument/2006/relationships/fontTable" Target="fontTable.xml"/><Relationship Id="rId13" Type="http://schemas.openxmlformats.org/officeDocument/2006/relationships/image" Target="media/veridian-brand-logo.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6364ACEF46547A497B4A5415725FE" ma:contentTypeVersion="12" ma:contentTypeDescription="Create a new document." ma:contentTypeScope="" ma:versionID="ab1c4ce4049acbd08511e59f4651f980">
  <xsd:schema xmlns:xsd="http://www.w3.org/2001/XMLSchema" xmlns:xs="http://www.w3.org/2001/XMLSchema" xmlns:p="http://schemas.microsoft.com/office/2006/metadata/properties" xmlns:ns2="4a866069-fdb1-4df2-8c46-d5413dfe9f74" xmlns:ns3="d3771acf-91e9-423a-a822-9232ae7f0a01" targetNamespace="http://schemas.microsoft.com/office/2006/metadata/properties" ma:root="true" ma:fieldsID="1ab1b480d1a19c9e738f994221842227" ns2:_="" ns3:_="">
    <xsd:import namespace="4a866069-fdb1-4df2-8c46-d5413dfe9f74"/>
    <xsd:import namespace="d3771acf-91e9-423a-a822-9232ae7f0a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66069-fdb1-4df2-8c46-d5413dfe9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4a9f55f-dce0-4ad3-86af-47d93601117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771acf-91e9-423a-a822-9232ae7f0a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95e18d-3db4-4792-a8ff-b8fb91af6e3b}" ma:internalName="TaxCatchAll" ma:showField="CatchAllData" ma:web="d3771acf-91e9-423a-a822-9232ae7f0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771acf-91e9-423a-a822-9232ae7f0a01" xsi:nil="true"/>
    <lcf76f155ced4ddcb4097134ff3c332f xmlns="4a866069-fdb1-4df2-8c46-d5413dfe9f74">
      <Terms xmlns="http://schemas.microsoft.com/office/infopath/2007/PartnerControls"/>
    </lcf76f155ced4ddcb4097134ff3c332f>
    <Notes xmlns="4a866069-fdb1-4df2-8c46-d5413dfe9f74" xsi:nil="true"/>
  </documentManagement>
</p:properties>
</file>

<file path=customXml/itemProps1.xml><?xml version="1.0" encoding="utf-8"?>
<ds:datastoreItem xmlns:ds="http://schemas.openxmlformats.org/officeDocument/2006/customXml" ds:itemID="{2083B6A1-CA05-4CEA-A595-445583B400E2}"/>
</file>

<file path=customXml/itemProps2.xml><?xml version="1.0" encoding="utf-8"?>
<ds:datastoreItem xmlns:ds="http://schemas.openxmlformats.org/officeDocument/2006/customXml" ds:itemID="{8824205E-1F63-429B-9DA2-8D553614ED5E}"/>
</file>

<file path=customXml/itemProps3.xml><?xml version="1.0" encoding="utf-8"?>
<ds:datastoreItem xmlns:ds="http://schemas.openxmlformats.org/officeDocument/2006/customXml" ds:itemID="{52D0A115-D5F7-4542-81BC-795A1608912B}"/>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2026-05-29T22:54:00Z</dcterms:created>
  <dcterms:modified xsi:type="dcterms:W3CDTF">2026-05-29T22:54:00Z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0x0101008FC6364ACEF46547A497B4A5415725FE</vt:lpwstr>
  </property>
</Properties>
</file>