
<file path=[Content_Types].xml><?xml version="1.0" encoding="utf-8"?>
<Types xmlns="http://schemas.openxmlformats.org/package/2006/content-types">
  <Default Extension="bmp" ContentType="image/bmp"/>
  <Default Extension="gif" ContentType="image/gif"/>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docProps/custom.xml" ContentType="application/vnd.openxmlformats-officedocument.custom-properties+xml"/>
  <Override PartName="/docProps/app.xml" ContentType="application/vnd.openxmlformats-officedocument.extended-properties+xml"/>
  <Override PartName="/word/footnotes.xml" ContentType="application/vnd.openxmlformats-officedocument.wordprocessingml.footnotes+xml"/>
  <Override PartName="/word/endnotes.xml" ContentType="application/vnd.openxmlformats-officedocument.wordprocessingml.endnotes+xml"/>
  <Override PartName="/word/settings.xml" ContentType="application/vnd.openxmlformats-officedocument.wordprocessingml.settings+xml"/>
  <Override PartName="/word/comments.xml" ContentType="application/vnd.openxmlformats-officedocument.wordprocessingml.comment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r="http://schemas.openxmlformats.org/officeDocument/2006/relationships" xmlns:mc="http://schemas.openxmlformats.org/markup-compatibility/2006" xmlns:m="http://schemas.openxmlformats.org/officeDocument/2006/math" xmlns:w="http://schemas.openxmlformats.org/wordprocessingml/2006/main" xmlns:w14="http://schemas.microsoft.com/office/word/2010/wordml" xmlns:w15="http://schemas.microsoft.com/office/word/2012/wordml" xmlns:wp="http://schemas.openxmlformats.org/drawingml/2006/wordprocessingDrawing" xmlns:wps="http://schemas.microsoft.com/office/word/2010/wordprocessingShape" mc:Ignorable="w14 w15">
  <w:body>
    <w:p>
      <w:pPr>
        <w:spacing w:after="240" w:before="0"/>
      </w:pPr>
      <w:r>
        <w:rPr>
          <w:b/>
          <w:bCs/>
          <w:sz w:val="36"/>
          <w:szCs w:val="36"/>
        </w:rPr>
        <w:t xml:space="preserve">Control of Nonconforming Outputs Procedure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2200"/>
        <w:gridCol w:w="2000"/>
        <w:gridCol w:w="3160"/>
      </w:tblGrid>
      <w:tr>
        <w:tc>
          <w:tcPr>
            <w:tcW w:type="dxa" w:w="20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Document No.</w:t>
            </w:r>
          </w:p>
        </w:tc>
        <w:tc>
          <w:tcPr>
            <w:tcW w:type="dxa" w:w="22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QMS-PRO-003</w:t>
            </w:r>
          </w:p>
        </w:tc>
        <w:tc>
          <w:tcPr>
            <w:tcW w:type="dxa" w:w="20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Standard</w:t>
            </w:r>
          </w:p>
        </w:tc>
        <w:tc>
          <w:tcPr>
            <w:tcW w:type="dxa" w:w="31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ISO 9001:2015 Cl. 8.7</w:t>
            </w:r>
          </w:p>
        </w:tc>
      </w:tr>
      <w:tr>
        <w:tc>
          <w:tcPr>
            <w:tcW w:type="dxa" w:w="20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Revision</w:t>
            </w:r>
          </w:p>
        </w:tc>
        <w:tc>
          <w:tcPr>
            <w:tcW w:type="dxa" w:w="22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2.0</w:t>
            </w:r>
          </w:p>
        </w:tc>
        <w:tc>
          <w:tcPr>
            <w:tcW w:type="dxa" w:w="20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Issue Date</w:t>
            </w:r>
          </w:p>
        </w:tc>
        <w:tc>
          <w:tcPr>
            <w:tcW w:type="dxa" w:w="31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[Date]</w:t>
            </w:r>
          </w:p>
        </w:tc>
      </w:tr>
      <w:tr>
        <w:tc>
          <w:tcPr>
            <w:tcW w:type="dxa" w:w="20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Review Frequency</w:t>
            </w:r>
          </w:p>
        </w:tc>
        <w:tc>
          <w:tcPr>
            <w:tcW w:type="dxa" w:w="22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Annual</w:t>
            </w:r>
          </w:p>
        </w:tc>
        <w:tc>
          <w:tcPr>
            <w:tcW w:type="dxa" w:w="20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Owner</w:t>
            </w:r>
          </w:p>
        </w:tc>
        <w:tc>
          <w:tcPr>
            <w:tcW w:type="dxa" w:w="31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Quality Manager</w:t>
            </w:r>
          </w:p>
        </w:tc>
      </w:tr>
    </w:tbl>
    <w:p>
      <w:pPr>
        <w:pStyle w:val="Heading1"/>
        <w:spacing w:after="160" w:before="280"/>
      </w:pPr>
      <w:r>
        <w:t xml:space="preserve">1. Purpose</w:t>
      </w:r>
    </w:p>
    <w:p>
      <w:pPr>
        <w:spacing w:after="120"/>
      </w:pPr>
      <w:r>
        <w:t xml:space="preserve">To ensure that products and services that do not conform to requirements are identified, segregated and controlled to prevent unintended use or delivery, and that appropriate disposition decisions are made and recorded. To capture nonconformance data for trend analysis and corrective action input.</w:t>
      </w:r>
    </w:p>
    <w:p>
      <w:pPr>
        <w:pStyle w:val="Heading1"/>
        <w:spacing w:after="160" w:before="280"/>
      </w:pPr>
      <w:r>
        <w:t xml:space="preserve">2. Scope</w:t>
      </w:r>
    </w:p>
    <w:p>
      <w:pPr>
        <w:spacing w:after="120"/>
      </w:pPr>
      <w:r>
        <w:t xml:space="preserve">Applies to all products, services, materials and process outputs at any stage of production, inspection, storage, delivery or post-delivery where the output does not meet specified requirements. Includes nonconformity in supplied product (raw materials, subcontracted work), in-process product, finished product, and product already delivered to the customer.</w:t>
      </w:r>
    </w:p>
    <w:p>
      <w:pPr>
        <w:pStyle w:val="Heading1"/>
        <w:spacing w:after="160" w:before="280"/>
      </w:pPr>
      <w:r>
        <w:t xml:space="preserve">3. Definitions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6760"/>
      </w:tblGrid>
      <w:tr>
        <w:tc>
          <w:tcPr>
            <w:tcW w:type="dxa" w:w="26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Nonconformity (NC)</w:t>
            </w:r>
          </w:p>
        </w:tc>
        <w:tc>
          <w:tcPr>
            <w:tcW w:type="dxa" w:w="67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Non-fulfilment of a requirement.</w:t>
            </w:r>
          </w:p>
        </w:tc>
      </w:tr>
      <w:tr>
        <w:tc>
          <w:tcPr>
            <w:tcW w:type="dxa" w:w="26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Nonconforming output</w:t>
            </w:r>
          </w:p>
        </w:tc>
        <w:tc>
          <w:tcPr>
            <w:tcW w:type="dxa" w:w="67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Product or service that does not conform to its requirements, identified at any stage from receipt of materials through to post-delivery.</w:t>
            </w:r>
          </w:p>
        </w:tc>
      </w:tr>
      <w:tr>
        <w:tc>
          <w:tcPr>
            <w:tcW w:type="dxa" w:w="26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Disposition</w:t>
            </w:r>
          </w:p>
        </w:tc>
        <w:tc>
          <w:tcPr>
            <w:tcW w:type="dxa" w:w="67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The documented decision on how to handle a nonconforming product.</w:t>
            </w:r>
          </w:p>
        </w:tc>
      </w:tr>
      <w:tr>
        <w:tc>
          <w:tcPr>
            <w:tcW w:type="dxa" w:w="26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Concession</w:t>
            </w:r>
          </w:p>
        </w:tc>
        <w:tc>
          <w:tcPr>
            <w:tcW w:type="dxa" w:w="67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Authorisation to use or release a product that does not conform to specified requirements — only with documented approval from the customer or engineering authority.</w:t>
            </w:r>
          </w:p>
        </w:tc>
      </w:tr>
      <w:tr>
        <w:tc>
          <w:tcPr>
            <w:tcW w:type="dxa" w:w="26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Segregation</w:t>
            </w:r>
          </w:p>
        </w:tc>
        <w:tc>
          <w:tcPr>
            <w:tcW w:type="dxa" w:w="67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Physical separation and clear identification of nonconforming product to prevent inadvertent use.</w:t>
            </w:r>
          </w:p>
        </w:tc>
      </w:tr>
      <w:tr>
        <w:tc>
          <w:tcPr>
            <w:tcW w:type="dxa" w:w="26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NCR</w:t>
            </w:r>
          </w:p>
        </w:tc>
        <w:tc>
          <w:tcPr>
            <w:tcW w:type="dxa" w:w="67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Nonconformance Report — the formal record (QMS-FRM-NCR-001) capturing the nonconformity, its disposition and closure.</w:t>
            </w:r>
          </w:p>
        </w:tc>
      </w:tr>
    </w:tbl>
    <w:p>
      <w:pPr>
        <w:pStyle w:val="Heading1"/>
        <w:spacing w:after="160" w:before="280"/>
      </w:pPr>
      <w:r>
        <w:t xml:space="preserve">4. Responsibilities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6760"/>
      </w:tblGrid>
      <w:tr>
        <w:tc>
          <w:tcPr>
            <w:tcW w:type="dxa" w:w="26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Any employee</w:t>
            </w:r>
          </w:p>
        </w:tc>
        <w:tc>
          <w:tcPr>
            <w:tcW w:type="dxa" w:w="67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Stop work and report any product or process they suspect does not conform. Apply hold tag or segregation as appropriate.</w:t>
            </w:r>
          </w:p>
        </w:tc>
      </w:tr>
      <w:tr>
        <w:tc>
          <w:tcPr>
            <w:tcW w:type="dxa" w:w="26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Supervisor</w:t>
            </w:r>
          </w:p>
        </w:tc>
        <w:tc>
          <w:tcPr>
            <w:tcW w:type="dxa" w:w="67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Confirm the nonconformity, initiate the NCR, ensure segregation is in place. Decide on minor rework dispositions within their authority.</w:t>
            </w:r>
          </w:p>
        </w:tc>
      </w:tr>
      <w:tr>
        <w:tc>
          <w:tcPr>
            <w:tcW w:type="dxa" w:w="26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QA Inspector</w:t>
            </w:r>
          </w:p>
        </w:tc>
        <w:tc>
          <w:tcPr>
            <w:tcW w:type="dxa" w:w="67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Verify the nonconformity through measurement or inspection. Sign off on disposition outcomes that fall within their authority.</w:t>
            </w:r>
          </w:p>
        </w:tc>
      </w:tr>
      <w:tr>
        <w:tc>
          <w:tcPr>
            <w:tcW w:type="dxa" w:w="26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Quality Manager</w:t>
            </w:r>
          </w:p>
        </w:tc>
        <w:tc>
          <w:tcPr>
            <w:tcW w:type="dxa" w:w="67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Approves all UAI concessions, customer notifications and decisions involving repair. Maintains NCR register. Drives trend analysis.</w:t>
            </w:r>
          </w:p>
        </w:tc>
      </w:tr>
      <w:tr>
        <w:tc>
          <w:tcPr>
            <w:tcW w:type="dxa" w:w="26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Operations Manager</w:t>
            </w:r>
          </w:p>
        </w:tc>
        <w:tc>
          <w:tcPr>
            <w:tcW w:type="dxa" w:w="67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Resourcing and scheduling impacts of NCRs. Approves rework programmes affecting delivery.</w:t>
            </w:r>
          </w:p>
        </w:tc>
      </w:tr>
      <w:tr>
        <w:tc>
          <w:tcPr>
            <w:tcW w:type="dxa" w:w="26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Managing Director</w:t>
            </w:r>
          </w:p>
        </w:tc>
        <w:tc>
          <w:tcPr>
            <w:tcW w:type="dxa" w:w="67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Approves NCR disposition for product already delivered, customer notification of major NCRs, financial implications.</w:t>
            </w:r>
          </w:p>
        </w:tc>
      </w:tr>
    </w:tbl>
    <w:p>
      <w:pPr>
        <w:pStyle w:val="Heading1"/>
        <w:spacing w:after="160" w:before="280"/>
      </w:pPr>
      <w:r>
        <w:t xml:space="preserve">5. Identification and Containment</w:t>
      </w:r>
    </w:p>
    <w:p>
      <w:pPr>
        <w:pStyle w:val="ListParagraph"/>
        <w:numPr>
          <w:ilvl w:val="0"/>
          <w:numId w:val="2"/>
        </w:numPr>
        <w:spacing w:after="60"/>
      </w:pPr>
      <w:r>
        <w:t xml:space="preserve">On detection of a suspected nonconformity, the person identifying it must stop further work on the affected item and notify their supervisor or the QA Inspector immediately.</w:t>
      </w:r>
    </w:p>
    <w:p>
      <w:pPr>
        <w:pStyle w:val="ListParagraph"/>
        <w:numPr>
          <w:ilvl w:val="0"/>
          <w:numId w:val="2"/>
        </w:numPr>
        <w:spacing w:after="60"/>
      </w:pPr>
      <w:r>
        <w:t xml:space="preserve">The suspect item is tagged with a HOLD tag (yellow) identifying the item, the suspected nonconformity, and the date.</w:t>
      </w:r>
    </w:p>
    <w:p>
      <w:pPr>
        <w:pStyle w:val="ListParagraph"/>
        <w:numPr>
          <w:ilvl w:val="0"/>
          <w:numId w:val="2"/>
        </w:numPr>
        <w:spacing w:after="60"/>
      </w:pPr>
      <w:r>
        <w:t xml:space="preserve">The item is moved to the designated quarantine area or, where movement is impractical, segregated and clearly marked in place.</w:t>
      </w:r>
    </w:p>
    <w:p>
      <w:pPr>
        <w:pStyle w:val="ListParagraph"/>
        <w:numPr>
          <w:ilvl w:val="0"/>
          <w:numId w:val="2"/>
        </w:numPr>
        <w:spacing w:after="60"/>
      </w:pPr>
      <w:r>
        <w:t xml:space="preserve">Production of related items continues only after the Quality Manager has assessed potential impact — there may be other affected items requiring inspection.</w:t>
      </w:r>
    </w:p>
    <w:p>
      <w:pPr>
        <w:pStyle w:val="ListParagraph"/>
        <w:numPr>
          <w:ilvl w:val="0"/>
          <w:numId w:val="2"/>
        </w:numPr>
        <w:spacing w:after="60"/>
      </w:pPr>
      <w:r>
        <w:t xml:space="preserve">Customer-supplied or customer-property items are immediately notified to the customer through the project supervisor.</w:t>
      </w:r>
    </w:p>
    <w:p>
      <w:pPr>
        <w:pStyle w:val="Heading1"/>
        <w:spacing w:after="160" w:before="280"/>
      </w:pPr>
      <w:r>
        <w:t xml:space="preserve">6. NCR Initiation and Recording</w:t>
      </w:r>
    </w:p>
    <w:p>
      <w:pPr>
        <w:spacing w:after="120"/>
      </w:pPr>
      <w:r>
        <w:t xml:space="preserve">An NCR (QMS-FRM-NCR-001) is raised within one working day of identification. The NCR captures:</w:t>
      </w:r>
    </w:p>
    <w:p>
      <w:pPr>
        <w:pStyle w:val="ListParagraph"/>
        <w:numPr>
          <w:ilvl w:val="0"/>
          <w:numId w:val="2"/>
        </w:numPr>
        <w:spacing w:after="60"/>
      </w:pPr>
      <w:r>
        <w:t xml:space="preserve">Unique NCR number, date, raised by, project/job reference.</w:t>
      </w:r>
    </w:p>
    <w:p>
      <w:pPr>
        <w:pStyle w:val="ListParagraph"/>
        <w:numPr>
          <w:ilvl w:val="0"/>
          <w:numId w:val="2"/>
        </w:numPr>
        <w:spacing w:after="60"/>
      </w:pPr>
      <w:r>
        <w:t xml:space="preserve">Description of the nonconformity — what was found, against what requirement, with measurements / evidence.</w:t>
      </w:r>
    </w:p>
    <w:p>
      <w:pPr>
        <w:pStyle w:val="ListParagraph"/>
        <w:numPr>
          <w:ilvl w:val="0"/>
          <w:numId w:val="2"/>
        </w:numPr>
        <w:spacing w:after="60"/>
      </w:pPr>
      <w:r>
        <w:t xml:space="preserve">Identification — heat number, batch, drawing number, serial number, lot number.</w:t>
      </w:r>
    </w:p>
    <w:p>
      <w:pPr>
        <w:pStyle w:val="ListParagraph"/>
        <w:numPr>
          <w:ilvl w:val="0"/>
          <w:numId w:val="2"/>
        </w:numPr>
        <w:spacing w:after="60"/>
      </w:pPr>
      <w:r>
        <w:t xml:space="preserve">Quantity affected.</w:t>
      </w:r>
    </w:p>
    <w:p>
      <w:pPr>
        <w:pStyle w:val="ListParagraph"/>
        <w:numPr>
          <w:ilvl w:val="0"/>
          <w:numId w:val="2"/>
        </w:numPr>
        <w:spacing w:after="60"/>
      </w:pPr>
      <w:r>
        <w:t xml:space="preserve">Stage detected (receipt, in-process, final, post-delivery).</w:t>
      </w:r>
    </w:p>
    <w:p>
      <w:pPr>
        <w:pStyle w:val="ListParagraph"/>
        <w:numPr>
          <w:ilvl w:val="0"/>
          <w:numId w:val="2"/>
        </w:numPr>
        <w:spacing w:after="60"/>
      </w:pPr>
      <w:r>
        <w:t xml:space="preserve">Containment actions taken.</w:t>
      </w:r>
    </w:p>
    <w:p>
      <w:pPr>
        <w:pStyle w:val="ListParagraph"/>
        <w:numPr>
          <w:ilvl w:val="0"/>
          <w:numId w:val="2"/>
        </w:numPr>
        <w:spacing w:after="60"/>
      </w:pPr>
      <w:r>
        <w:t xml:space="preserve">Photographs and supporting evidence.</w:t>
      </w:r>
    </w:p>
    <w:p>
      <w:pPr>
        <w:pStyle w:val="Heading1"/>
        <w:spacing w:after="160" w:before="280"/>
      </w:pPr>
      <w:r>
        <w:t xml:space="preserve">7. Disposition Options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3500"/>
        <w:gridCol w:w="3860"/>
      </w:tblGrid>
      <w:tr>
        <w:trPr>
          <w:tblHeader/>
        </w:trPr>
        <w:tc>
          <w:tcPr>
            <w:tcW w:type="dxa" w:w="20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Disposition</w:t>
            </w:r>
          </w:p>
        </w:tc>
        <w:tc>
          <w:tcPr>
            <w:tcW w:type="dxa" w:w="35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Description</w:t>
            </w:r>
          </w:p>
        </w:tc>
        <w:tc>
          <w:tcPr>
            <w:tcW w:type="dxa" w:w="386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Authority</w:t>
            </w:r>
          </w:p>
        </w:tc>
      </w:tr>
      <w:tr>
        <w:tc>
          <w:tcPr>
            <w:tcW w:type="dxa" w:w="20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Rework</w:t>
            </w:r>
          </w:p>
        </w:tc>
        <w:tc>
          <w:tcPr>
            <w:tcW w:type="dxa" w:w="35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Action on a nonconforming product to make it conform to requirements.</w:t>
            </w:r>
          </w:p>
        </w:tc>
        <w:tc>
          <w:tcPr>
            <w:tcW w:type="dxa" w:w="38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Supervisor / QA Inspector</w:t>
            </w:r>
          </w:p>
        </w:tc>
      </w:tr>
      <w:tr>
        <w:tc>
          <w:tcPr>
            <w:tcW w:type="dxa" w:w="20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Repair</w:t>
            </w:r>
          </w:p>
        </w:tc>
        <w:tc>
          <w:tcPr>
            <w:tcW w:type="dxa" w:w="35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Action to make a nonconforming product acceptable for the intended use, though it may not conform to original requirements.</w:t>
            </w:r>
          </w:p>
        </w:tc>
        <w:tc>
          <w:tcPr>
            <w:tcW w:type="dxa" w:w="38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Quality Manager + customer (where required)</w:t>
            </w:r>
          </w:p>
        </w:tc>
      </w:tr>
      <w:tr>
        <w:tc>
          <w:tcPr>
            <w:tcW w:type="dxa" w:w="20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Use As Is (UAI) — Concession</w:t>
            </w:r>
          </w:p>
        </w:tc>
        <w:tc>
          <w:tcPr>
            <w:tcW w:type="dxa" w:w="35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Acceptance of a nonconforming product without rework. Requires customer or engineering authority approval.</w:t>
            </w:r>
          </w:p>
        </w:tc>
        <w:tc>
          <w:tcPr>
            <w:tcW w:type="dxa" w:w="38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Quality Manager + Customer / Engineer of Record</w:t>
            </w:r>
          </w:p>
        </w:tc>
      </w:tr>
      <w:tr>
        <w:tc>
          <w:tcPr>
            <w:tcW w:type="dxa" w:w="20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Reject / Scrap</w:t>
            </w:r>
          </w:p>
        </w:tc>
        <w:tc>
          <w:tcPr>
            <w:tcW w:type="dxa" w:w="35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Disposal of the nonconforming product so it cannot be inadvertently used. Tagged, segregated, then physically destroyed or marked.</w:t>
            </w:r>
          </w:p>
        </w:tc>
        <w:tc>
          <w:tcPr>
            <w:tcW w:type="dxa" w:w="38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QA Inspector / Quality Manager</w:t>
            </w:r>
          </w:p>
        </w:tc>
      </w:tr>
      <w:tr>
        <w:tc>
          <w:tcPr>
            <w:tcW w:type="dxa" w:w="20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Return to Supplier</w:t>
            </w:r>
          </w:p>
        </w:tc>
        <w:tc>
          <w:tcPr>
            <w:tcW w:type="dxa" w:w="35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Where the nonconformity is the supplier's responsibility — return for credit, replacement or supplier rework.</w:t>
            </w:r>
          </w:p>
        </w:tc>
        <w:tc>
          <w:tcPr>
            <w:tcW w:type="dxa" w:w="38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Quality Manager + Procurement</w:t>
            </w:r>
          </w:p>
        </w:tc>
      </w:tr>
    </w:tbl>
    <w:p>
      <w:pPr>
        <w:pStyle w:val="Heading1"/>
        <w:spacing w:after="160" w:before="280"/>
      </w:pPr>
      <w:r>
        <w:t xml:space="preserve">8. Disposition Process</w:t>
      </w:r>
    </w:p>
    <w:p>
      <w:pPr>
        <w:pStyle w:val="ListParagraph"/>
        <w:numPr>
          <w:ilvl w:val="0"/>
          <w:numId w:val="2"/>
        </w:numPr>
        <w:spacing w:after="60"/>
      </w:pPr>
      <w:r>
        <w:t xml:space="preserve">The Quality Manager reviews the NCR and determines or approves the disposition.</w:t>
      </w:r>
    </w:p>
    <w:p>
      <w:pPr>
        <w:pStyle w:val="ListParagraph"/>
        <w:numPr>
          <w:ilvl w:val="0"/>
          <w:numId w:val="2"/>
        </w:numPr>
        <w:spacing w:after="60"/>
      </w:pPr>
      <w:r>
        <w:t xml:space="preserve">For UAI / Concession, a written request is sent to the customer or engineering authority before any release. Authority approval is filed with the NCR.</w:t>
      </w:r>
    </w:p>
    <w:p>
      <w:pPr>
        <w:pStyle w:val="ListParagraph"/>
        <w:numPr>
          <w:ilvl w:val="0"/>
          <w:numId w:val="2"/>
        </w:numPr>
        <w:spacing w:after="60"/>
      </w:pPr>
      <w:r>
        <w:t xml:space="preserve">For Rework or Repair, work instructions are documented and the rework is inspected and signed off as if it were original work.</w:t>
      </w:r>
    </w:p>
    <w:p>
      <w:pPr>
        <w:pStyle w:val="ListParagraph"/>
        <w:numPr>
          <w:ilvl w:val="0"/>
          <w:numId w:val="2"/>
        </w:numPr>
        <w:spacing w:after="60"/>
      </w:pPr>
      <w:r>
        <w:t xml:space="preserve">For Reject / Scrap, the item is physically destroyed, marked, or otherwise rendered unusable. Witness sign-off.</w:t>
      </w:r>
    </w:p>
    <w:p>
      <w:pPr>
        <w:pStyle w:val="ListParagraph"/>
        <w:numPr>
          <w:ilvl w:val="0"/>
          <w:numId w:val="2"/>
        </w:numPr>
        <w:spacing w:after="60"/>
      </w:pPr>
      <w:r>
        <w:t xml:space="preserve">For Return to Supplier, a Supplier NCR is raised through QMS-PRO-004.</w:t>
      </w:r>
    </w:p>
    <w:p>
      <w:pPr>
        <w:pStyle w:val="ListParagraph"/>
        <w:numPr>
          <w:ilvl w:val="0"/>
          <w:numId w:val="2"/>
        </w:numPr>
        <w:spacing w:after="60"/>
      </w:pPr>
      <w:r>
        <w:t xml:space="preserve">In all cases, the disposition is recorded on the NCR with date, decision, authority and signature.</w:t>
      </w:r>
    </w:p>
    <w:p>
      <w:pPr>
        <w:pStyle w:val="Heading1"/>
        <w:spacing w:after="160" w:before="280"/>
      </w:pPr>
      <w:r>
        <w:t xml:space="preserve">9. Re-inspection After Rework or Repair</w:t>
      </w:r>
    </w:p>
    <w:p>
      <w:pPr>
        <w:pStyle w:val="ListParagraph"/>
        <w:numPr>
          <w:ilvl w:val="0"/>
          <w:numId w:val="2"/>
        </w:numPr>
        <w:spacing w:after="60"/>
      </w:pPr>
      <w:r>
        <w:t xml:space="preserve">Reworked or repaired items must be re-inspected to the same requirements as original product.</w:t>
      </w:r>
    </w:p>
    <w:p>
      <w:pPr>
        <w:pStyle w:val="ListParagraph"/>
        <w:numPr>
          <w:ilvl w:val="0"/>
          <w:numId w:val="2"/>
        </w:numPr>
        <w:spacing w:after="60"/>
      </w:pPr>
      <w:r>
        <w:t xml:space="preserve">Re-inspection is performed by the QA Inspector — never by the person who performed the rework.</w:t>
      </w:r>
    </w:p>
    <w:p>
      <w:pPr>
        <w:pStyle w:val="ListParagraph"/>
        <w:numPr>
          <w:ilvl w:val="0"/>
          <w:numId w:val="2"/>
        </w:numPr>
        <w:spacing w:after="60"/>
      </w:pPr>
      <w:r>
        <w:t xml:space="preserve">Re-inspection results are recorded on the original NCR.</w:t>
      </w:r>
    </w:p>
    <w:p>
      <w:pPr>
        <w:pStyle w:val="ListParagraph"/>
        <w:numPr>
          <w:ilvl w:val="0"/>
          <w:numId w:val="2"/>
        </w:numPr>
        <w:spacing w:after="60"/>
      </w:pPr>
      <w:r>
        <w:t xml:space="preserve">Items failing re-inspection are subject to fresh disposition — they cannot be reworked and re-inspected indefinitely.</w:t>
      </w:r>
    </w:p>
    <w:p>
      <w:pPr>
        <w:pStyle w:val="ListParagraph"/>
        <w:numPr>
          <w:ilvl w:val="0"/>
          <w:numId w:val="2"/>
        </w:numPr>
        <w:spacing w:after="60"/>
      </w:pPr>
      <w:r>
        <w:t xml:space="preserve">Items reworked more than twice are escalated to the Quality Manager for engineering review.</w:t>
      </w:r>
    </w:p>
    <w:p>
      <w:pPr>
        <w:pStyle w:val="Heading1"/>
        <w:spacing w:after="160" w:before="280"/>
      </w:pPr>
      <w:r>
        <w:t xml:space="preserve">10. Nonconformity Detected Post-Delivery</w:t>
      </w:r>
    </w:p>
    <w:p>
      <w:pPr>
        <w:spacing w:after="120"/>
      </w:pPr>
      <w:r>
        <w:t xml:space="preserve">Where a nonconformity is identified in delivered product:</w:t>
      </w:r>
    </w:p>
    <w:p>
      <w:pPr>
        <w:pStyle w:val="ListParagraph"/>
        <w:numPr>
          <w:ilvl w:val="0"/>
          <w:numId w:val="2"/>
        </w:numPr>
        <w:spacing w:after="60"/>
      </w:pPr>
      <w:r>
        <w:t xml:space="preserve">Notify the customer in writing within 24 hours of confirmation. Severity 1 within 4 hours.</w:t>
      </w:r>
    </w:p>
    <w:p>
      <w:pPr>
        <w:pStyle w:val="ListParagraph"/>
        <w:numPr>
          <w:ilvl w:val="0"/>
          <w:numId w:val="2"/>
        </w:numPr>
        <w:spacing w:after="60"/>
      </w:pPr>
      <w:r>
        <w:t xml:space="preserve">Quarantine any remaining inventory of the same batch or lot at [Organisation Name].</w:t>
      </w:r>
    </w:p>
    <w:p>
      <w:pPr>
        <w:pStyle w:val="ListParagraph"/>
        <w:numPr>
          <w:ilvl w:val="0"/>
          <w:numId w:val="2"/>
        </w:numPr>
        <w:spacing w:after="60"/>
      </w:pPr>
      <w:r>
        <w:t xml:space="preserve">Investigate whether other delivered batches are potentially affected.</w:t>
      </w:r>
    </w:p>
    <w:p>
      <w:pPr>
        <w:pStyle w:val="ListParagraph"/>
        <w:numPr>
          <w:ilvl w:val="0"/>
          <w:numId w:val="2"/>
        </w:numPr>
        <w:spacing w:after="60"/>
      </w:pPr>
      <w:r>
        <w:t xml:space="preserve">Coordinate any recall or rework activity with the customer.</w:t>
      </w:r>
    </w:p>
    <w:p>
      <w:pPr>
        <w:pStyle w:val="ListParagraph"/>
        <w:numPr>
          <w:ilvl w:val="0"/>
          <w:numId w:val="2"/>
        </w:numPr>
        <w:spacing w:after="60"/>
      </w:pPr>
      <w:r>
        <w:t xml:space="preserve">Assess regulatory notification requirements — product safety, environmental, conformity assessment.</w:t>
      </w:r>
    </w:p>
    <w:p>
      <w:pPr>
        <w:pStyle w:val="ListParagraph"/>
        <w:numPr>
          <w:ilvl w:val="0"/>
          <w:numId w:val="2"/>
        </w:numPr>
        <w:spacing w:after="60"/>
      </w:pPr>
      <w:r>
        <w:t xml:space="preserve">Raise a Major CAR (QMS-FRM-CAR-001) — root cause is mandatory.</w:t>
      </w:r>
    </w:p>
    <w:p>
      <w:pPr>
        <w:pStyle w:val="ListParagraph"/>
        <w:numPr>
          <w:ilvl w:val="0"/>
          <w:numId w:val="2"/>
        </w:numPr>
        <w:spacing w:after="60"/>
      </w:pPr>
      <w:r>
        <w:t xml:space="preserve">Report to MD within 24 hours.</w:t>
      </w:r>
    </w:p>
    <w:p>
      <w:pPr>
        <w:pStyle w:val="Heading1"/>
        <w:spacing w:after="160" w:before="280"/>
      </w:pPr>
      <w:r>
        <w:t xml:space="preserve">11. Trend Analysis</w:t>
      </w:r>
    </w:p>
    <w:p>
      <w:pPr>
        <w:pStyle w:val="ListParagraph"/>
        <w:numPr>
          <w:ilvl w:val="0"/>
          <w:numId w:val="2"/>
        </w:numPr>
        <w:spacing w:after="60"/>
      </w:pPr>
      <w:r>
        <w:t xml:space="preserve">The Quality Manager analyses NCR data monthly: count by type, by source (supplier, in-process, customer), by product line, by cost impact.</w:t>
      </w:r>
    </w:p>
    <w:p>
      <w:pPr>
        <w:pStyle w:val="ListParagraph"/>
        <w:numPr>
          <w:ilvl w:val="0"/>
          <w:numId w:val="2"/>
        </w:numPr>
        <w:spacing w:after="60"/>
      </w:pPr>
      <w:r>
        <w:t xml:space="preserve">Trends are presented at Management Review with corrective action recommendations.</w:t>
      </w:r>
    </w:p>
    <w:p>
      <w:pPr>
        <w:pStyle w:val="ListParagraph"/>
        <w:numPr>
          <w:ilvl w:val="0"/>
          <w:numId w:val="2"/>
        </w:numPr>
        <w:spacing w:after="60"/>
      </w:pPr>
      <w:r>
        <w:t xml:space="preserve">Repeat NC themes trigger a Major CAR even where individual NCRs are minor.</w:t>
      </w:r>
    </w:p>
    <w:p>
      <w:pPr>
        <w:pStyle w:val="ListParagraph"/>
        <w:numPr>
          <w:ilvl w:val="0"/>
          <w:numId w:val="2"/>
        </w:numPr>
        <w:spacing w:after="60"/>
      </w:pPr>
      <w:r>
        <w:t xml:space="preserve">NCR rate is a Quality Objective KPI (QMS-REG-OBJ-001) — target is declining trend.</w:t>
      </w:r>
    </w:p>
    <w:p>
      <w:pPr>
        <w:pStyle w:val="Heading1"/>
        <w:spacing w:after="160" w:before="280"/>
      </w:pPr>
      <w:r>
        <w:t xml:space="preserve">12. Records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6760"/>
      </w:tblGrid>
      <w:tr>
        <w:tc>
          <w:tcPr>
            <w:tcW w:type="dxa" w:w="26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NCR forms</w:t>
            </w:r>
          </w:p>
        </w:tc>
        <w:tc>
          <w:tcPr>
            <w:tcW w:type="dxa" w:w="67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All raised NCRs retained 7 years.</w:t>
            </w:r>
          </w:p>
        </w:tc>
      </w:tr>
      <w:tr>
        <w:tc>
          <w:tcPr>
            <w:tcW w:type="dxa" w:w="26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Customer concession approvals</w:t>
            </w:r>
          </w:p>
        </w:tc>
        <w:tc>
          <w:tcPr>
            <w:tcW w:type="dxa" w:w="67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Filed with NCR. Retained 7 years.</w:t>
            </w:r>
          </w:p>
        </w:tc>
      </w:tr>
      <w:tr>
        <w:tc>
          <w:tcPr>
            <w:tcW w:type="dxa" w:w="26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Re-inspection records</w:t>
            </w:r>
          </w:p>
        </w:tc>
        <w:tc>
          <w:tcPr>
            <w:tcW w:type="dxa" w:w="67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Filed with NCR. Retained 7 years.</w:t>
            </w:r>
          </w:p>
        </w:tc>
      </w:tr>
      <w:tr>
        <w:tc>
          <w:tcPr>
            <w:tcW w:type="dxa" w:w="26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NCR register and trend reports</w:t>
            </w:r>
          </w:p>
        </w:tc>
        <w:tc>
          <w:tcPr>
            <w:tcW w:type="dxa" w:w="67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Retained per Management Review records — 7 years.</w:t>
            </w:r>
          </w:p>
        </w:tc>
      </w:tr>
      <w:tr>
        <w:tc>
          <w:tcPr>
            <w:tcW w:type="dxa" w:w="26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Supplier NCR records</w:t>
            </w:r>
          </w:p>
        </w:tc>
        <w:tc>
          <w:tcPr>
            <w:tcW w:type="dxa" w:w="67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Cross-referenced to supplier file. Retained 7 years.</w:t>
            </w:r>
          </w:p>
        </w:tc>
      </w:tr>
    </w:tbl>
    <w:p>
      <w:pPr>
        <w:pStyle w:val="Heading1"/>
        <w:spacing w:after="160" w:before="280"/>
      </w:pPr>
      <w:r>
        <w:t xml:space="preserve">13. Related Documents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rPr>
          <w:tblHeader/>
        </w:trPr>
        <w:tc>
          <w:tcPr>
            <w:tcW w:type="dxa" w:w="30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Document No.</w:t>
            </w:r>
          </w:p>
        </w:tc>
        <w:tc>
          <w:tcPr>
            <w:tcW w:type="dxa" w:w="636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Title</w:t>
            </w:r>
          </w:p>
        </w:tc>
      </w:tr>
      <w:tr>
        <w:tc>
          <w:tcPr>
            <w:tcW w:type="dxa" w:w="30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QMS-PRO-004</w:t>
            </w:r>
          </w:p>
        </w:tc>
        <w:tc>
          <w:tcPr>
            <w:tcW w:type="dxa" w:w="63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Supplier Evaluation and Management</w:t>
            </w:r>
          </w:p>
        </w:tc>
      </w:tr>
      <w:tr>
        <w:tc>
          <w:tcPr>
            <w:tcW w:type="dxa" w:w="30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QMS-PRO-005</w:t>
            </w:r>
          </w:p>
        </w:tc>
        <w:tc>
          <w:tcPr>
            <w:tcW w:type="dxa" w:w="63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Product and Service Release</w:t>
            </w:r>
          </w:p>
        </w:tc>
      </w:tr>
      <w:tr>
        <w:tc>
          <w:tcPr>
            <w:tcW w:type="dxa" w:w="30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QMS-PRO-009</w:t>
            </w:r>
          </w:p>
        </w:tc>
        <w:tc>
          <w:tcPr>
            <w:tcW w:type="dxa" w:w="63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Corrective Action Procedure</w:t>
            </w:r>
          </w:p>
        </w:tc>
      </w:tr>
      <w:tr>
        <w:tc>
          <w:tcPr>
            <w:tcW w:type="dxa" w:w="30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QMS-FRM-NCR-001</w:t>
            </w:r>
          </w:p>
        </w:tc>
        <w:tc>
          <w:tcPr>
            <w:tcW w:type="dxa" w:w="63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Nonconformance Report Form</w:t>
            </w:r>
          </w:p>
        </w:tc>
      </w:tr>
      <w:tr>
        <w:tc>
          <w:tcPr>
            <w:tcW w:type="dxa" w:w="30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QMS-FRM-CAR-001</w:t>
            </w:r>
          </w:p>
        </w:tc>
        <w:tc>
          <w:tcPr>
            <w:tcW w:type="dxa" w:w="63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Corrective Action Request Form</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rPr>
          <w:tblHeader/>
        </w:trPr>
        <w:tc>
          <w:tcPr>
            <w:tcW w:type="dxa" w:w="234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Role</w:t>
            </w:r>
          </w:p>
        </w:tc>
        <w:tc>
          <w:tcPr>
            <w:tcW w:type="dxa" w:w="234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Name</w:t>
            </w:r>
          </w:p>
        </w:tc>
        <w:tc>
          <w:tcPr>
            <w:tcW w:type="dxa" w:w="234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Signature</w:t>
            </w:r>
          </w:p>
        </w:tc>
        <w:tc>
          <w:tcPr>
            <w:tcW w:type="dxa" w:w="234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Date</w:t>
            </w:r>
          </w:p>
        </w:tc>
      </w:tr>
      <w:tr>
        <w:tc>
          <w:tcPr>
            <w:tcW w:type="dxa" w:w="234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Quality Manager</w:t>
            </w:r>
          </w:p>
        </w:tc>
        <w:tc>
          <w:tcPr>
            <w:tcW w:type="dxa" w:w="234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
            </w:r>
          </w:p>
        </w:tc>
        <w:tc>
          <w:tcPr>
            <w:tcW w:type="dxa" w:w="234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
            </w:r>
          </w:p>
        </w:tc>
        <w:tc>
          <w:tcPr>
            <w:tcW w:type="dxa" w:w="234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
            </w:r>
          </w:p>
        </w:tc>
      </w:tr>
      <w:tr>
        <w:tc>
          <w:tcPr>
            <w:tcW w:type="dxa" w:w="234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Operations Manager</w:t>
            </w:r>
          </w:p>
        </w:tc>
        <w:tc>
          <w:tcPr>
            <w:tcW w:type="dxa" w:w="234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
            </w:r>
          </w:p>
        </w:tc>
        <w:tc>
          <w:tcPr>
            <w:tcW w:type="dxa" w:w="234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
            </w:r>
          </w:p>
        </w:tc>
        <w:tc>
          <w:tcPr>
            <w:tcW w:type="dxa" w:w="234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
            </w:r>
          </w:p>
        </w:tc>
      </w:tr>
      <w:tr>
        <w:tc>
          <w:tcPr>
            <w:tcW w:type="dxa" w:w="234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Managing Director</w:t>
            </w:r>
          </w:p>
        </w:tc>
        <w:tc>
          <w:tcPr>
            <w:tcW w:type="dxa" w:w="234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
            </w:r>
          </w:p>
        </w:tc>
        <w:tc>
          <w:tcPr>
            <w:tcW w:type="dxa" w:w="234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
            </w:r>
          </w:p>
        </w:tc>
        <w:tc>
          <w:tcPr>
            <w:tcW w:type="dxa" w:w="234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F8F00" w:sz="12"/>
              <w:left w:val="single" w:color="BF8F00" w:sz="12"/>
              <w:bottom w:val="single" w:color="BF8F00" w:sz="4"/>
              <w:right w:val="single" w:color="BF8F00" w:sz="12"/>
            </w:tcBorders>
            <w:shd w:fill="BF8F00" w:val="clear"/>
            <w:tcMar>
              <w:top w:type="dxa" w:w="120"/>
              <w:left w:type="dxa" w:w="200"/>
              <w:bottom w:type="dxa" w:w="120"/>
              <w:right w:type="dxa" w:w="200"/>
            </w:tcMar>
          </w:tcPr>
          <w:p>
            <w:r>
              <w:rPr>
                <w:b/>
                <w:bCs/>
                <w:color w:val="FFFFFF"/>
                <w:sz w:val="22"/>
                <w:szCs w:val="22"/>
              </w:rPr>
              <w:t xml:space="preserve">✎  HOW TO COMPLETE THIS DOCUMENT  —  DELETE THIS SECTION BEFORE PUBLISHING</w:t>
            </w:r>
          </w:p>
        </w:tc>
      </w:tr>
      <w:tr>
        <w:tc>
          <w:tcPr>
            <w:tcW w:type="dxa" w:w="9360"/>
            <w:tcBorders>
              <w:top w:val="none"/>
              <w:left w:val="single" w:color="BF8F00" w:sz="12"/>
              <w:bottom w:val="single" w:color="BF8F00" w:sz="2"/>
              <w:right w:val="single" w:color="BF8F00" w:sz="12"/>
            </w:tcBorders>
            <w:shd w:fill="FFF2CC" w:val="clear"/>
            <w:tcMar>
              <w:top w:type="dxa" w:w="120"/>
              <w:left w:type="dxa" w:w="200"/>
              <w:bottom w:type="dxa" w:w="120"/>
              <w:right w:type="dxa" w:w="200"/>
            </w:tcMar>
          </w:tcPr>
          <w:p>
            <w:r>
              <w:rPr>
                <w:i/>
                <w:iCs/>
                <w:color w:val="806000"/>
                <w:sz w:val="20"/>
                <w:szCs w:val="20"/>
              </w:rPr>
              <w:t xml:space="preserve">Use these notes to tailor, complete and finalise this document before publication. Delete this section once done.</w:t>
            </w:r>
          </w:p>
        </w:tc>
      </w:tr>
      <w:tr>
        <w:tc>
          <w:tcPr>
            <w:tcW w:type="dxa" w:w="9360"/>
            <w:tcBorders>
              <w:top w:val="none"/>
              <w:left w:val="single" w:color="BF8F00" w:sz="12"/>
              <w:bottom w:val="single" w:color="BF8F00" w:sz="2"/>
              <w:right w:val="single" w:color="BF8F00" w:sz="12"/>
            </w:tcBorders>
            <w:shd w:fill="FFF2CC" w:val="clear"/>
            <w:tcMar>
              <w:top w:type="dxa" w:w="120"/>
              <w:left w:type="dxa" w:w="200"/>
              <w:bottom w:type="dxa" w:w="120"/>
              <w:right w:type="dxa" w:w="200"/>
            </w:tcMar>
          </w:tcPr>
          <w:p>
            <w:r>
              <w:rPr>
                <w:b/>
                <w:bCs/>
                <w:color w:val="806000"/>
                <w:sz w:val="20"/>
                <w:szCs w:val="20"/>
              </w:rPr>
              <w:t xml:space="preserve">1. Set up the quarantine area and HOLD tags</w:t>
            </w:r>
          </w:p>
          <w:p>
            <w:r>
              <w:rPr>
                <w:color w:val="806000"/>
                <w:sz w:val="20"/>
                <w:szCs w:val="20"/>
              </w:rPr>
              <w:t xml:space="preserve">Designate a physical quarantine area in each workshop. Stock yellow HOLD tags at every work station. Without these the procedure cannot operate.</w:t>
            </w:r>
          </w:p>
        </w:tc>
      </w:tr>
      <w:tr>
        <w:tc>
          <w:tcPr>
            <w:tcW w:type="dxa" w:w="9360"/>
            <w:tcBorders>
              <w:top w:val="none"/>
              <w:left w:val="single" w:color="BF8F00" w:sz="12"/>
              <w:bottom w:val="single" w:color="BF8F00" w:sz="2"/>
              <w:right w:val="single" w:color="BF8F00" w:sz="12"/>
            </w:tcBorders>
            <w:shd w:fill="FFF2CC" w:val="clear"/>
            <w:tcMar>
              <w:top w:type="dxa" w:w="120"/>
              <w:left w:type="dxa" w:w="200"/>
              <w:bottom w:type="dxa" w:w="120"/>
              <w:right w:type="dxa" w:w="200"/>
            </w:tcMar>
          </w:tcPr>
          <w:p>
            <w:r>
              <w:rPr>
                <w:b/>
                <w:bCs/>
                <w:color w:val="806000"/>
                <w:sz w:val="20"/>
                <w:szCs w:val="20"/>
              </w:rPr>
              <w:t xml:space="preserve">2. Communicate the</w:t>
            </w:r>
          </w:p>
          <w:p>
            <w:r>
              <w:rPr>
                <w:color w:val="806000"/>
                <w:sz w:val="20"/>
                <w:szCs w:val="20"/>
              </w:rPr>
              <w:t xml:space="preserve">**'****Stop Work****'**** empowerment** Every employee must understand they have authority — and obligation — to stop work and raise an NCR. Cover in induction and toolbox talks.</w:t>
            </w:r>
          </w:p>
        </w:tc>
      </w:tr>
      <w:tr>
        <w:tc>
          <w:tcPr>
            <w:tcW w:type="dxa" w:w="9360"/>
            <w:tcBorders>
              <w:top w:val="none"/>
              <w:left w:val="single" w:color="BF8F00" w:sz="12"/>
              <w:bottom w:val="single" w:color="BF8F00" w:sz="2"/>
              <w:right w:val="single" w:color="BF8F00" w:sz="12"/>
            </w:tcBorders>
            <w:shd w:fill="FFF2CC" w:val="clear"/>
            <w:tcMar>
              <w:top w:type="dxa" w:w="120"/>
              <w:left w:type="dxa" w:w="200"/>
              <w:bottom w:type="dxa" w:w="120"/>
              <w:right w:type="dxa" w:w="200"/>
            </w:tcMar>
          </w:tcPr>
          <w:p>
            <w:r>
              <w:rPr>
                <w:b/>
                <w:bCs/>
                <w:color w:val="806000"/>
                <w:sz w:val="20"/>
                <w:szCs w:val="20"/>
              </w:rPr>
              <w:t xml:space="preserve">3. Configure the NCR form workflow in the portal</w:t>
            </w:r>
          </w:p>
          <w:p>
            <w:r>
              <w:rPr>
                <w:color w:val="806000"/>
                <w:sz w:val="20"/>
                <w:szCs w:val="20"/>
              </w:rPr>
              <w:t xml:space="preserve">QMS-FRM-NCR-001 should be a portal form that auto-generates the NCR number and feeds the NCR register. Set up before publication.</w:t>
            </w:r>
          </w:p>
        </w:tc>
      </w:tr>
      <w:tr>
        <w:tc>
          <w:tcPr>
            <w:tcW w:type="dxa" w:w="9360"/>
            <w:tcBorders>
              <w:top w:val="none"/>
              <w:left w:val="single" w:color="BF8F00" w:sz="12"/>
              <w:bottom w:val="single" w:color="BF8F00" w:sz="2"/>
              <w:right w:val="single" w:color="BF8F00" w:sz="12"/>
            </w:tcBorders>
            <w:shd w:fill="FFF2CC" w:val="clear"/>
            <w:tcMar>
              <w:top w:type="dxa" w:w="120"/>
              <w:left w:type="dxa" w:w="200"/>
              <w:bottom w:type="dxa" w:w="120"/>
              <w:right w:type="dxa" w:w="200"/>
            </w:tcMar>
          </w:tcPr>
          <w:p>
            <w:r>
              <w:rPr>
                <w:b/>
                <w:bCs/>
                <w:color w:val="806000"/>
                <w:sz w:val="20"/>
                <w:szCs w:val="20"/>
              </w:rPr>
              <w:t xml:space="preserve">4. Train QA Inspectors and Supervisors on disposition authority</w:t>
            </w:r>
          </w:p>
          <w:p>
            <w:r>
              <w:rPr>
                <w:color w:val="806000"/>
                <w:sz w:val="20"/>
                <w:szCs w:val="20"/>
              </w:rPr>
              <w:t xml:space="preserve">Each person needs to know what they can approve and what must escalate. Run a brief workshop.</w:t>
            </w:r>
          </w:p>
        </w:tc>
      </w:tr>
      <w:tr>
        <w:tc>
          <w:tcPr>
            <w:tcW w:type="dxa" w:w="9360"/>
            <w:tcBorders>
              <w:top w:val="none"/>
              <w:left w:val="single" w:color="BF8F00" w:sz="12"/>
              <w:bottom w:val="single" w:color="BF8F00" w:sz="2"/>
              <w:right w:val="single" w:color="BF8F00" w:sz="12"/>
            </w:tcBorders>
            <w:shd w:fill="FFF2CC" w:val="clear"/>
            <w:tcMar>
              <w:top w:type="dxa" w:w="120"/>
              <w:left w:type="dxa" w:w="200"/>
              <w:bottom w:type="dxa" w:w="120"/>
              <w:right w:type="dxa" w:w="200"/>
            </w:tcMar>
          </w:tcPr>
          <w:p>
            <w:r>
              <w:rPr>
                <w:b/>
                <w:bCs/>
                <w:color w:val="806000"/>
                <w:sz w:val="20"/>
                <w:szCs w:val="20"/>
              </w:rPr>
              <w:t xml:space="preserve">5. Set monthly trend analysis routine</w:t>
            </w:r>
          </w:p>
          <w:p>
            <w:r>
              <w:rPr>
                <w:color w:val="806000"/>
                <w:sz w:val="20"/>
                <w:szCs w:val="20"/>
              </w:rPr>
              <w:t xml:space="preserve">Diarise a monthly slot for the Quality Manager to review NCR data and prepare the MR input.</w:t>
            </w:r>
          </w:p>
        </w:tc>
      </w:tr>
      <w:tr>
        <w:tc>
          <w:tcPr>
            <w:tcW w:type="dxa" w:w="9360"/>
            <w:tcBorders>
              <w:top w:val="none"/>
              <w:left w:val="single" w:color="BF8F00" w:sz="12"/>
              <w:bottom w:val="single" w:color="BF8F00" w:sz="2"/>
              <w:right w:val="single" w:color="BF8F00" w:sz="12"/>
            </w:tcBorders>
            <w:shd w:fill="FFF2CC" w:val="clear"/>
            <w:tcMar>
              <w:top w:type="dxa" w:w="120"/>
              <w:left w:type="dxa" w:w="200"/>
              <w:bottom w:type="dxa" w:w="120"/>
              <w:right w:type="dxa" w:w="200"/>
            </w:tcMar>
          </w:tcPr>
          <w:p>
            <w:r>
              <w:rPr>
                <w:b/>
                <w:bCs/>
                <w:color w:val="806000"/>
                <w:sz w:val="20"/>
                <w:szCs w:val="20"/>
              </w:rPr>
              <w:t xml:space="preserve">6. Establish customer notification templates for post-delivery NCRs</w:t>
            </w:r>
          </w:p>
          <w:p>
            <w:r>
              <w:rPr>
                <w:color w:val="806000"/>
                <w:sz w:val="20"/>
                <w:szCs w:val="20"/>
              </w:rPr>
              <w:t xml:space="preserve">Pre-draft letter/email templates so notification is fast when needed. Get legal advice on liability language.</w:t>
            </w:r>
          </w:p>
        </w:tc>
      </w:tr>
      <w:tr>
        <w:tc>
          <w:tcPr>
            <w:tcW w:type="dxa" w:w="9360"/>
            <w:tcBorders>
              <w:top w:val="none"/>
              <w:left w:val="single" w:color="BF8F00" w:sz="12"/>
              <w:bottom w:val="single" w:color="BF8F00" w:sz="12"/>
              <w:right w:val="single" w:color="BF8F00" w:sz="12"/>
            </w:tcBorders>
            <w:shd w:fill="FFF2CC" w:val="clear"/>
            <w:tcMar>
              <w:top w:type="dxa" w:w="120"/>
              <w:left w:type="dxa" w:w="200"/>
              <w:bottom w:type="dxa" w:w="120"/>
              <w:right w:type="dxa" w:w="200"/>
            </w:tcMar>
          </w:tcPr>
          <w:p>
            <w:r>
              <w:rPr>
                <w:b/>
                <w:bCs/>
                <w:color w:val="806000"/>
                <w:sz w:val="20"/>
                <w:szCs w:val="20"/>
              </w:rPr>
              <w:t xml:space="preserve">7. DELETE this guidance section before publishing</w:t>
            </w:r>
          </w:p>
          <w:p>
            <w:r>
              <w:rPr>
                <w:color w:val="806000"/>
                <w:sz w:val="20"/>
                <w:szCs w:val="20"/>
              </w:rPr>
              <w:t xml:space="preserve">Select the entire yellow-bordered block and delete.</w:t>
            </w:r>
          </w:p>
        </w:tc>
      </w:tr>
    </w:tbl>
    <w:p>
      <w:pPr>
        <w:spacing w:after="120"/>
      </w:pPr>
      <w:r>
        <w:t xml:space="preserve">QMS-PRO-003  •  Rev 2.0	CONTROLLED DOCUMENT — verify currency before use	Page  of</w:t>
      </w:r>
    </w:p>
    <w:sectPr>
      <w:headerReference w:type="default" r:id="rId7"/>
      <w:footerReference w:type="default" r:id="rId8"/>
      <w:pgSz w:w="11906" w:h="16838"/>
      <w:pgMar w:top="1700" w:right="1440" w:bottom="1440" w:left="1440" w:header="720" w:footer="72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r="http://schemas.openxmlformats.org/officeDocument/2006/relationships" xmlns:mc="http://schemas.openxmlformats.org/markup-compatibility/2006" xmlns:m="http://schemas.openxmlformats.org/officeDocument/2006/math" xmlns:w="http://schemas.openxmlformats.org/wordprocessingml/2006/main" xmlns:w14="http://schemas.microsoft.com/office/word/2010/wordml" xmlns:w15="http://schemas.microsoft.com/office/word/2012/wordml" xmlns:wp="http://schemas.openxmlformats.org/drawingml/2006/wordprocessingDrawing" xmlns:wps="http://schemas.microsoft.com/office/word/2010/wordprocessingShape" mc:Ignorable="w14 w15">
  <w:p>
    <w:pPr>
      <w:pBdr>
        <w:top w:val="single" w:color="BFBFBF" w:sz="4" w:space="4"/>
      </w:pBdr>
      <w:tabs>
        <w:tab w:val="center" w:pos="4680"/>
        <w:tab w:val="right" w:pos="9360"/>
      </w:tabs>
    </w:pPr>
    <w:r>
      <w:rPr>
        <w:color w:val="595959"/>
        <w:sz w:val="16"/>
        <w:szCs w:val="16"/>
      </w:rPr>
      <w:t xml:space="preserve">QMS-PRO-003  •  Rev 2.0</w:t>
    </w:r>
    <w:r>
      <w:rPr>
        <w:sz w:val="16"/>
        <w:szCs w:val="16"/>
      </w:rPr>
      <w:t>	</w:t>
    </w:r>
    <w:r>
      <w:rPr>
        <w:i/>
        <w:iCs/>
        <w:color w:val="595959"/>
        <w:sz w:val="16"/>
        <w:szCs w:val="16"/>
      </w:rPr>
      <w:t xml:space="preserve">CONTROLLED DOCUMENT — verify currency before use</w:t>
    </w:r>
    <w:r>
      <w:rPr>
        <w:sz w:val="16"/>
        <w:szCs w:val="16"/>
      </w:rPr>
      <w:t>	</w:t>
    </w:r>
    <w:r>
      <w:rPr>
        <w:color w:val="595959"/>
        <w:sz w:val="16"/>
        <w:szCs w:val="16"/>
      </w:rPr>
      <w:t xml:space="preserve">Page </w:t>
    </w:r>
    <w:r>
      <w:rPr>
        <w:color w:val="595959"/>
        <w:sz w:val="16"/>
        <w:szCs w:val="16"/>
      </w:rPr>
      <w:fldChar w:fldCharType="begin"/>
      <w:instrText xml:space="preserve">PAGE</w:instrText>
      <w:fldChar w:fldCharType="separate"/>
      <w:fldChar w:fldCharType="end"/>
    </w:r>
    <w:r>
      <w:rPr>
        <w:color w:val="595959"/>
        <w:sz w:val="16"/>
        <w:szCs w:val="16"/>
      </w:rPr>
      <w:t xml:space="preserve"> of </w:t>
    </w:r>
    <w:r>
      <w:rPr>
        <w:color w:val="595959"/>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r="http://schemas.openxmlformats.org/officeDocument/2006/relationships" xmlns:mc="http://schemas.openxmlformats.org/markup-compatibility/2006" xmlns:m="http://schemas.openxmlformats.org/officeDocument/2006/math" xmlns:w="http://schemas.openxmlformats.org/wordprocessingml/2006/main" xmlns:w14="http://schemas.microsoft.com/office/word/2010/wordml" xmlns:w15="http://schemas.microsoft.com/office/word/2012/wordml" xmlns:wp="http://schemas.openxmlformats.org/drawingml/2006/wordprocessingDrawing" xmlns:wps="http://schemas.microsoft.com/office/word/2010/wordprocessingShape" mc:Ignorable="w14 w15">
  <w:tbl>
    <w:tblPr>
      <w:tblW w:type="dxa" w:w="9360"/>
      <w:tblBorders>
        <w:top w:val="none" w:sz="0"/>
        <w:left w:val="none" w:sz="0"/>
        <w:bottom w:val="single" w:color="000000" w:sz="8"/>
        <w:right w:val="none" w:sz="0"/>
        <w:insideH w:val="none" w:sz="0"/>
        <w:insideV w:val="none" w:sz="0"/>
      </w:tblBorders>
    </w:tblPr>
    <w:tblGrid>
      <w:gridCol w:w="2400"/>
      <w:gridCol w:w="5160"/>
      <w:gridCol w:w="1800"/>
    </w:tblGrid>
    <w:tr>
      <w:tc>
        <w:tcPr>
          <w:tcW w:type="dxa" w:w="2400"/>
          <w:tcBorders>
            <w:top w:val="none" w:sz="0"/>
            <w:left w:val="none" w:sz="0"/>
            <w:bottom w:val="single" w:color="000000" w:sz="8"/>
            <w:right w:val="none" w:sz="0"/>
          </w:tcBorders>
          <w:tcMar>
            <w:top w:type="dxa" w:w="60"/>
            <w:left w:type="dxa" w:w="80"/>
            <w:bottom w:type="dxa" w:w="80"/>
            <w:right w:type="dxa" w:w="80"/>
          </w:tcMar>
          <w:vAlign w:val="center"/>
        </w:tcPr>
        <w:p>
          <w:r>
            <w:rPr>
              <w:b/>
              <w:bCs/>
              <w:sz w:val="22"/>
              <w:szCs w:val="22"/>
            </w:rPr>
            <w:t xml:space="preserve">[ORGANISATION NAME]</w:t>
          </w:r>
        </w:p>
      </w:tc>
      <w:tc>
        <w:tcPr>
          <w:tcW w:type="dxa" w:w="5160"/>
          <w:tcBorders>
            <w:top w:val="none" w:sz="0"/>
            <w:left w:val="none" w:sz="0"/>
            <w:bottom w:val="single" w:color="000000" w:sz="8"/>
            <w:right w:val="none" w:sz="0"/>
          </w:tcBorders>
          <w:tcMar>
            <w:top w:type="dxa" w:w="60"/>
            <w:left w:type="dxa" w:w="80"/>
            <w:bottom w:type="dxa" w:w="80"/>
            <w:right w:type="dxa" w:w="80"/>
          </w:tcMar>
          <w:vAlign w:val="center"/>
        </w:tcPr>
        <w:p>
          <w:pPr>
            <w:spacing w:after="20"/>
            <w:jc w:val="center"/>
          </w:pPr>
          <w:r>
            <w:rPr>
              <w:b/>
              <w:bCs/>
              <w:sz w:val="20"/>
              <w:szCs w:val="20"/>
            </w:rPr>
            <w:t xml:space="preserve">Control of Nonconforming Outputs Procedure</w:t>
          </w:r>
        </w:p>
        <w:p>
          <w:pPr>
            <w:jc w:val="center"/>
          </w:pPr>
          <w:r>
            <w:rPr>
              <w:i/>
              <w:iCs/>
              <w:color w:val="595959"/>
              <w:sz w:val="16"/>
              <w:szCs w:val="16"/>
            </w:rPr>
            <w:t xml:space="preserve">ISO 9001:2015 — Cl. 8.7</w:t>
          </w:r>
        </w:p>
      </w:tc>
      <w:tc>
        <w:tcPr>
          <w:tcW w:type="dxa" w:w="1800"/>
          <w:tcBorders>
            <w:top w:val="none" w:sz="0"/>
            <w:left w:val="none" w:sz="0"/>
            <w:bottom w:val="single" w:color="000000" w:sz="8"/>
            <w:right w:val="none" w:sz="0"/>
          </w:tcBorders>
          <w:tcMar>
            <w:top w:type="dxa" w:w="60"/>
            <w:left w:type="dxa" w:w="80"/>
            <w:bottom w:type="dxa" w:w="80"/>
            <w:right w:type="dxa" w:w="80"/>
          </w:tcMar>
          <w:vAlign w:val="center"/>
        </w:tcPr>
        <w:p>
          <w:pPr>
            <w:jc w:val="right"/>
          </w:pPr>
          <w:r>
            <w:rPr>
              <w:b/>
              <w:bCs/>
              <w:sz w:val="18"/>
              <w:szCs w:val="18"/>
            </w:rPr>
            <w:t xml:space="preserve">QMS-PRO-003</w:t>
          </w:r>
        </w:p>
      </w:tc>
    </w:tr>
  </w:tbl>
  <w:p>
    <w:pPr>
      <w:spacing w:after="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70"/>
      </w:pPr>
    </w:lvl>
    <w:lvl w:ilvl="1" w15:tentative="1">
      <w:start w:val="1"/>
      <w:numFmt w:val="bullet"/>
      <w:lvlText w:val="○"/>
      <w:lvlJc w:val="left"/>
      <w:pPr>
        <w:ind w:left="1080" w:hanging="270"/>
      </w:pPr>
    </w:lvl>
  </w:abstractNum>
  <w:abstractNum w:abstractNumId="3" w15:restartNumberingAfterBreak="0">
    <w:multiLevelType w:val="hybridMultilevel"/>
    <w:lvl w:ilvl="0" w15:tentative="1">
      <w:start w:val="1"/>
      <w:numFmt w:val="decimal"/>
      <w:lvlText w:val="%1."/>
      <w:lvlJc w:val="left"/>
      <w:pPr>
        <w:ind w:left="540" w:hanging="360"/>
      </w:pPr>
    </w:lvl>
    <w:lvl w:ilvl="1" w15:tentative="1">
      <w:start w:val="1"/>
      <w:numFmt w:val="lowerLetter"/>
      <w:lvlText w:val="%2."/>
      <w:lvlJc w:val="left"/>
      <w:pPr>
        <w:ind w:left="108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280"/>
      <w:outlineLvl w:val="0"/>
    </w:pPr>
    <w:rPr>
      <w:rFonts w:ascii="Calibri" w:cs="Calibri" w:eastAsia="Calibri" w:hAnsi="Calibri"/>
      <w:b/>
      <w:bCs/>
      <w:color w:val="000000"/>
      <w:sz w:val="30"/>
      <w:szCs w:val="30"/>
    </w:rPr>
  </w:style>
  <w:style w:type="paragraph" w:styleId="Heading2">
    <w:name w:val="Heading 2"/>
    <w:basedOn w:val="Normal"/>
    <w:next w:val="Normal"/>
    <w:qFormat/>
    <w:pPr>
      <w:spacing w:after="100" w:before="200"/>
      <w:outlineLvl w:val="1"/>
    </w:pPr>
    <w:rPr>
      <w:rFonts w:ascii="Calibri" w:cs="Calibri" w:eastAsia="Calibri" w:hAnsi="Calibri"/>
      <w:b/>
      <w:bCs/>
      <w:color w:val="000000"/>
      <w:sz w:val="24"/>
      <w:szCs w:val="24"/>
    </w:rPr>
  </w:style>
  <w:style w:type="paragraph" w:styleId="Heading3">
    <w:name w:val="Heading 3"/>
    <w:basedOn w:val="Normal"/>
    <w:next w:val="Normal"/>
    <w:qFormat/>
    <w:pPr>
      <w:spacing w:after="80" w:before="160"/>
      <w:outlineLvl w:val="2"/>
    </w:pPr>
    <w:rPr>
      <w:rFonts w:ascii="Calibri" w:cs="Calibri" w:eastAsia="Calibri" w:hAnsi="Calibri"/>
      <w:b/>
      <w:bCs/>
      <w:color w:val="000000"/>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8" Type="http://schemas.openxmlformats.org/officeDocument/2006/relationships/footer" Target="footer1.xml"/><Relationship Id="rId3" Type="http://schemas.openxmlformats.org/officeDocument/2006/relationships/footnotes" Target="footnote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styles" Target="styles.xml"/><Relationship Id="rId6" Type="http://schemas.openxmlformats.org/officeDocument/2006/relationships/comments" Target="comments.xml"/><Relationship Id="rId11" Type="http://schemas.openxmlformats.org/officeDocument/2006/relationships/customXml" Target="../customXml/item2.xml"/><Relationship Id="rId5" Type="http://schemas.openxmlformats.org/officeDocument/2006/relationships/settings" Target="settings.xml"/><Relationship Id="rId10" Type="http://schemas.openxmlformats.org/officeDocument/2006/relationships/customXml" Target="../customXml/item1.xml"/><Relationship Id="rId4" Type="http://schemas.openxmlformats.org/officeDocument/2006/relationships/endnotes" Target="endnotes.xml"/><Relationship Id="rId9" Type="http://schemas.openxmlformats.org/officeDocument/2006/relationships/fontTable" Target="fontTable.xml"/><Relationship Id="rId13" Type="http://schemas.openxmlformats.org/officeDocument/2006/relationships/image" Target="media/veridian-brand-logo.jpeg"/></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customXml/_rels/item1.xml.rels><?xml version="1.0" encoding="UTF-8"?><Relationships xmlns="http://schemas.openxmlformats.org/package/2006/relationships"><Relationship Id="rId1" Type="http://schemas.openxmlformats.org/officeDocument/2006/relationships/customXmlProps" Target="itemProps1.xml"/></Relationships>
</file>

<file path=customXml/_rels/item2.xml.rels><?xml version="1.0" encoding="UTF-8"?><Relationships xmlns="http://schemas.openxmlformats.org/package/2006/relationships"><Relationship Id="rId1" Type="http://schemas.openxmlformats.org/officeDocument/2006/relationships/customXmlProps" Target="itemProps2.xml"/></Relationships>
</file>

<file path=customXml/_rels/item3.xml.rels><?xml version="1.0" encoding="UTF-8"?><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FC6364ACEF46547A497B4A5415725FE" ma:contentTypeVersion="12" ma:contentTypeDescription="Create a new document." ma:contentTypeScope="" ma:versionID="ab1c4ce4049acbd08511e59f4651f980">
  <xsd:schema xmlns:xsd="http://www.w3.org/2001/XMLSchema" xmlns:xs="http://www.w3.org/2001/XMLSchema" xmlns:p="http://schemas.microsoft.com/office/2006/metadata/properties" xmlns:ns2="4a866069-fdb1-4df2-8c46-d5413dfe9f74" xmlns:ns3="d3771acf-91e9-423a-a822-9232ae7f0a01" targetNamespace="http://schemas.microsoft.com/office/2006/metadata/properties" ma:root="true" ma:fieldsID="1ab1b480d1a19c9e738f994221842227" ns2:_="" ns3:_="">
    <xsd:import namespace="4a866069-fdb1-4df2-8c46-d5413dfe9f74"/>
    <xsd:import namespace="d3771acf-91e9-423a-a822-9232ae7f0a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866069-fdb1-4df2-8c46-d5413dfe9f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4a9f55f-dce0-4ad3-86af-47d93601117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Notes" ma:index="19"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3771acf-91e9-423a-a822-9232ae7f0a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295e18d-3db4-4792-a8ff-b8fb91af6e3b}" ma:internalName="TaxCatchAll" ma:showField="CatchAllData" ma:web="d3771acf-91e9-423a-a822-9232ae7f0a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3771acf-91e9-423a-a822-9232ae7f0a01" xsi:nil="true"/>
    <lcf76f155ced4ddcb4097134ff3c332f xmlns="4a866069-fdb1-4df2-8c46-d5413dfe9f74">
      <Terms xmlns="http://schemas.microsoft.com/office/infopath/2007/PartnerControls"/>
    </lcf76f155ced4ddcb4097134ff3c332f>
    <Notes xmlns="4a866069-fdb1-4df2-8c46-d5413dfe9f74" xsi:nil="true"/>
  </documentManagement>
</p:properties>
</file>

<file path=customXml/itemProps1.xml><?xml version="1.0" encoding="utf-8"?>
<ds:datastoreItem xmlns:ds="http://schemas.openxmlformats.org/officeDocument/2006/customXml" ds:itemID="{2083B6A1-CA05-4CEA-A595-445583B400E2}"/>
</file>

<file path=customXml/itemProps2.xml><?xml version="1.0" encoding="utf-8"?>
<ds:datastoreItem xmlns:ds="http://schemas.openxmlformats.org/officeDocument/2006/customXml" ds:itemID="{8824205E-1F63-429B-9DA2-8D553614ED5E}"/>
</file>

<file path=customXml/itemProps3.xml><?xml version="1.0" encoding="utf-8"?>
<ds:datastoreItem xmlns:ds="http://schemas.openxmlformats.org/officeDocument/2006/customXml" ds:itemID="{52D0A115-D5F7-4542-81BC-795A1608912B}"/>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2026-05-29T22:54:00Z</dcterms:created>
  <dcterms:modified xsi:type="dcterms:W3CDTF">2026-05-29T22:54:00Z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0x0101008FC6364ACEF46547A497B4A5415725FE</vt:lpwstr>
  </property>
</Properties>
</file>