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body>
    <w:p>
      <w:pPr>
        <w:spacing w:after="240" w:before="0"/>
      </w:pPr>
      <w:r>
        <w:rPr>
          <w:b/>
          <w:bCs/>
          <w:sz w:val="36"/>
          <w:szCs w:val="36"/>
        </w:rPr>
        <w:t xml:space="preserve">Customer Complaints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2000"/>
        <w:gridCol w:w="3160"/>
      </w:tblGrid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QMS-PRO-002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Standard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ISO 9001:2015 Cl. 8.2.1, 9.1.2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Revision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2.0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Issue Date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[Date]</w:t>
            </w:r>
          </w:p>
        </w:tc>
      </w:tr>
      <w:tr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Review Frequency</w:t>
            </w:r>
          </w:p>
        </w:tc>
        <w:tc>
          <w:tcPr>
            <w:tcW w:type="dxa" w:w="2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Annual</w:t>
            </w:r>
          </w:p>
        </w:tc>
        <w:tc>
          <w:tcPr>
            <w:tcW w:type="dxa" w:w="2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Owner</w:t>
            </w:r>
          </w:p>
        </w:tc>
        <w:tc>
          <w:tcPr>
            <w:tcW w:type="dxa" w:w="31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</w:tr>
    </w:tbl>
    <w:p>
      <w:pPr>
        <w:pStyle w:val="Heading1"/>
        <w:spacing w:after="160" w:before="280"/>
      </w:pPr>
      <w:r>
        <w:t xml:space="preserve">1. Purpose</w:t>
      </w:r>
    </w:p>
    <w:p>
      <w:pPr>
        <w:spacing w:after="120"/>
      </w:pPr>
      <w:r>
        <w:t xml:space="preserve">To ensure that all customer complaints, concerns and feedback are received, acknowledged, investigated and resolved in a timely and professional manner. To ensure root causes are identified and corrective actions implemented to prevent recurrence. To use complaint data as a driver of continual improvement of the Quality Management System and of customer satisfaction performance.</w:t>
      </w:r>
    </w:p>
    <w:p>
      <w:pPr>
        <w:pStyle w:val="Heading1"/>
        <w:spacing w:after="160" w:before="280"/>
      </w:pPr>
      <w:r>
        <w:t xml:space="preserve">2. Scope</w:t>
      </w:r>
    </w:p>
    <w:p>
      <w:pPr>
        <w:spacing w:after="120"/>
      </w:pPr>
      <w:r>
        <w:t xml:space="preserve">Applies to all complaints, concerns, disputes and feedback received from external customers relating to the organisation's products, services, delivery, documentation, personnel conduct or commercial dealings — regardless of the channel through which they are received (phone, email, letter, site meeting, formal legal claim, or online review).</w:t>
      </w:r>
    </w:p>
    <w:p>
      <w:pPr>
        <w:pStyle w:val="Heading1"/>
        <w:spacing w:after="160" w:before="280"/>
      </w:pPr>
      <w:r>
        <w:t xml:space="preserve">3. Principles</w:t>
      </w:r>
    </w:p>
    <w:p>
      <w:pPr>
        <w:spacing w:after="120"/>
      </w:pPr>
      <w:r>
        <w:t xml:space="preserve">the organisation's approach to customer complaints is governed by the following principles: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Accessibility — </w:t>
      </w:r>
      <w:r>
        <w:t xml:space="preserve"> Customers can raise concerns easily through multiple channels.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Acknowledgement — </w:t>
      </w:r>
      <w:r>
        <w:t xml:space="preserve"> Every complaint is acknowledged promptly. Customers know their concern has been heard.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Fairness — </w:t>
      </w:r>
      <w:r>
        <w:t xml:space="preserve"> Complaints are investigated objectively. Conclusions are based on evidence, not on the loudness of the complainant.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Confidentiality — </w:t>
      </w:r>
      <w:r>
        <w:t xml:space="preserve"> Complaint details are shared only with those who need to know.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No-blame — </w:t>
      </w:r>
      <w:r>
        <w:t xml:space="preserve"> Investigations focus on root cause, not on assigning individual blame.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b/>
          <w:bCs/>
        </w:rPr>
        <w:t xml:space="preserve">Closure — </w:t>
      </w:r>
      <w:r>
        <w:t xml:space="preserve"> Every complaint receives a documented outcome. Customers are told what happened, why, and what will be done.</w:t>
      </w:r>
    </w:p>
    <w:p>
      <w:pPr>
        <w:pStyle w:val="Heading1"/>
        <w:spacing w:after="160" w:before="280"/>
      </w:pPr>
      <w:r>
        <w:t xml:space="preserve">4. Definitions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Complaint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Any expression of dissatisfaction made to [Organisation Name] about its products, services, or complaint-handling process itself — where a response or resolution is expected.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Feedback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Any comment, positive or negative, not requiring a formal response or resolution.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Repeat complaint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 complaint where: (a) the same customer raises the same issue more than once, or (b) the same root cause appears in two or more complaints from different customers within any 12-month period.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Root cause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The fundamental, underlying reason a problem occurred. Addressing the root cause prevents recurrence; addressing only the symptom does not.</w:t>
            </w:r>
          </w:p>
        </w:tc>
      </w:tr>
    </w:tbl>
    <w:p>
      <w:pPr>
        <w:pStyle w:val="Heading1"/>
        <w:spacing w:after="160" w:before="280"/>
      </w:pPr>
      <w:r>
        <w:t xml:space="preserve">5. Complaint Classification and Response Timeframes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Severity Level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Description / Examples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Primary Authority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Response Target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S1 — Critical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Personal injury, safety incident, potential litigation, regulatory notification risk, product recall, or loss of key account &gt; $[X1].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MD + Quality Manager — within 2 hours.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Contact customer within 4 hours. Preserve all evidence.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S2 — Major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Significant product failure, formal written complaint, financial claim &gt; $[X2], repeat complaint within 12 months, customer threatening to withdraw business.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+ Operations Manager — within 4 hours.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Acknowledge within 1 business day. Investigation report within 5 days.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S3 — Standard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Product quality issue, delivery failure, documentation error, personnel conduct issue.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— within 1 business day.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Acknowledge within 2 business days. Resolution within 10 business days.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S4 — Minor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General feedback, minor service issue, suggestion.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Sales or project team — within 2 business days.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Acknowledge within 3 business days. Resolution within 15 business days.</w:t>
            </w:r>
          </w:p>
        </w:tc>
      </w:tr>
    </w:tbl>
    <w:p>
      <w:pPr>
        <w:pStyle w:val="Heading1"/>
        <w:spacing w:after="160" w:before="280"/>
      </w:pPr>
      <w:r>
        <w:t xml:space="preserve">6. Responsibilities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Any staff member who receives a complaint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Record the complaint details immediately. Never argue, dismiss or promise a resolution. Notify Quality Manager same day.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Quality Manager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Classifies the complaint, assigns the investigator, monitors timeframes, maintains the CCR register, reports trends at Management Review.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Investigating Manager / Engineer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Conducts the investigation, determines root cause, proposes resolution, communicates outcome to customer.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Managing Director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Approves resolution for Severity 1 and 2 complaints. Authorises financial settlements. Signs formal correspondence for legal complaints.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Sales / Account Manager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Maintains customer relationship throughout the complaint process. Provides context on the account history.</w:t>
            </w:r>
          </w:p>
        </w:tc>
      </w:tr>
    </w:tbl>
    <w:p>
      <w:pPr>
        <w:pStyle w:val="Heading1"/>
        <w:spacing w:after="160" w:before="280"/>
      </w:pPr>
      <w:r>
        <w:t xml:space="preserve">7. Complaint Receipt and Registration</w:t>
      </w:r>
    </w:p>
    <w:p>
      <w:pPr>
        <w:spacing w:after="120"/>
      </w:pPr>
      <w:r>
        <w:t xml:space="preserve">Every complaint — regardless of severity — must be entered in the Customer Complaints Register (QMS-REG-CCR-001) within one business day. The registration record must capture: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Date received, channel, name of person who received it.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Customer name, company, contact details, project or order reference.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Description of the complaint in the customer's own words — not paraphrased.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Initial severity classification (S1–S4) and rationale.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Name of assigned investigator and target resolution date.</w:t>
      </w:r>
    </w:p>
    <w:p>
      <w:pPr>
        <w:spacing w:after="120"/>
      </w:pPr>
      <w:r>
        <w:t xml:space="preserve">Acknowledge receipt to the customer within the timeframe for that severity. The acknowledgement must state: reference number assigned, who is managing the complaint, and the expected resolution timeframe. Do not admit liability in the acknowledgement.</w:t>
      </w:r>
    </w:p>
    <w:p>
      <w:pPr>
        <w:pStyle w:val="Heading1"/>
        <w:spacing w:after="160" w:before="280"/>
      </w:pPr>
      <w:r>
        <w:t xml:space="preserve">8. Investigation Process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Assign an investigator with appropriate technical knowledge. Severity 1 and 2 must be investigated by the Quality Manager or above.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Gather objective evidence: production records, inspection reports, delivery dockets, drawings, specifications, photos, communications history.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Identify whether nonconforming product is involved — if so, raise an NCR (QMS-FRM-NCR-001) and link it to the complaint reference.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Determine root cause using 5-Why analysis (S3 and S4 minimum) or Fishbone diagram (S1 and S2 minimum).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Develop proposed resolution: repair, replacement, credit note, process improvement, or combination.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Obtain management approval for the resolution before communicating it to the customer. Severity 1 and 2 require MD sign-off.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Communicate outcome to the customer in writing: what was found, what caused it, what will be done, by when.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Implement corrective actions. A CAR is required for Severity 1 and 2. Verify effectiveness and close the complaint in the register.</w:t>
      </w:r>
    </w:p>
    <w:p>
      <w:pPr>
        <w:pStyle w:val="Heading1"/>
        <w:spacing w:after="160" w:before="280"/>
      </w:pPr>
      <w:r>
        <w:t xml:space="preserve">9. Escalation Triggers</w:t>
      </w:r>
    </w:p>
    <w:p>
      <w:pPr>
        <w:spacing w:after="120"/>
      </w:pPr>
      <w:r>
        <w:t xml:space="preserve">Escalate to the Managing Director immediately if any of the following apply: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complaint involves personal injury or an imminent safety risk to any person.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customer has engaged legal representation or issued a formal letter of demand.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regulatory body may need to be notified (product safety, environmental, WHS).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Financial settlement or credit note exceeds the authority of the Quality Manager.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complaint is from a client representing &gt; 20% of annual revenue.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complaint is the second or subsequent complaint from the same customer on the same issue.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Media or social-media attention has been drawn to the complaint.</w:t>
      </w:r>
    </w:p>
    <w:p>
      <w:pPr>
        <w:pStyle w:val="Heading1"/>
        <w:spacing w:after="160" w:before="280"/>
      </w:pPr>
      <w:r>
        <w:t xml:space="preserve">10. Repeat Complaints — Stricter Requirements</w:t>
      </w:r>
    </w:p>
    <w:p>
      <w:pPr>
        <w:spacing w:after="120"/>
      </w:pPr>
      <w:r>
        <w:t xml:space="preserve">When a complaint is classified as a repeat complaint, the following additional requirements apply REGARDLESS of severity: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 Corrective Action Request must be raised (QMS-FRM-CAR-001).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Root cause analysis using Fishbone or ICAM is mandatory — 5-Why alone is not sufficient.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corrective action must address the systemic cause: training programme, procedure revision, or design change as required.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The Quality Manager must present repeat complaint analysis at the next Management Review.</w:t>
      </w:r>
    </w:p>
    <w:p>
      <w:pPr>
        <w:pStyle w:val="Heading1"/>
        <w:spacing w:after="160" w:before="280"/>
      </w:pPr>
      <w:r>
        <w:t xml:space="preserve">11. Customer Satisfaction Measurement (Cl. 9.1.2)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Method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Description and Target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Post-project survey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Issued within 10 business days of delivery. Minimum metrics: overall satisfaction (1–5 scale), product / service quality, communication quality, likelihood to recommend. Target response rate ≥ 40%.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Follow-up call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or Project Manager calls key accounts 2–4 weeks post-delivery. Documents feedback in the CCR register.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Complaint rate KPI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Total complaints per period. Complaints per $1M revenue. Tracked monthly, reported at Management Review. Target: declining trend.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Net Promoter Score (NPS)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Optional annual survey. NPS = % Promoters minus % Detractors. Target NPS ≥ 30.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Repeat business rate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% of revenue from returning customers. Tracked quarterly. Indirect indicator of satisfaction.</w:t>
            </w:r>
          </w:p>
        </w:tc>
      </w:tr>
    </w:tbl>
    <w:p>
      <w:pPr>
        <w:pStyle w:val="Heading1"/>
        <w:spacing w:after="160" w:before="280"/>
      </w:pPr>
      <w:r>
        <w:t xml:space="preserve">12. Compensation and Rework Approvals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Compensation Type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Approval Authority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Rework at [Organisation Name] cost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approves — no financial authority limit. Must be technically justified.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Replacement of product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approves up to $[X3] value. MD approval above threshold.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Credit note or price reduction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 approves up to $[X4]. MD approval above threshold.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Ex-gratia goodwill payment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MD approval required.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Legal settlement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MD approval required. Legal advice obtained before any offer made.</w:t>
            </w:r>
          </w:p>
        </w:tc>
      </w:tr>
    </w:tbl>
    <w:p>
      <w:pPr>
        <w:pStyle w:val="Heading1"/>
        <w:spacing w:after="160" w:before="280"/>
      </w:pPr>
      <w:r>
        <w:t xml:space="preserve">13. Records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6760"/>
      </w:tblGrid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Complaints Register (QMS-REG-CCR-001)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Maintained by Quality Manager. Reviewed monthly. Presented at Management Review.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Investigation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Notes, photographs, test reports filed against complaint reference.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Customer communications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Acknowledgement, outcome letter, follow-up communications. Retained 7 years.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Root cause analysis records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7 years — cross-referenced to any CAR raised.</w:t>
            </w:r>
          </w:p>
        </w:tc>
      </w:tr>
      <w:tr>
        <w:tc>
          <w:tcPr>
            <w:tcW w:type="dxa" w:w="2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CAR forms for Severity 1 and 2 complaints</w:t>
            </w:r>
          </w:p>
        </w:tc>
        <w:tc>
          <w:tcPr>
            <w:tcW w:type="dxa" w:w="67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Retained 7 years (QMS-FRM-CAR-001).</w:t>
            </w:r>
          </w:p>
        </w:tc>
      </w:tr>
    </w:tbl>
    <w:p>
      <w:pPr>
        <w:pStyle w:val="Heading1"/>
        <w:spacing w:after="160" w:before="280"/>
      </w:pPr>
      <w:r>
        <w:t xml:space="preserve">14. Related Documents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360"/>
      </w:tblGrid>
      <w:tr>
        <w:trPr>
          <w:tblHeader/>
        </w:trP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Document No.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Title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QMS-POL-001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Policy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QMS-PRO-003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Control of Nonconforming Outputs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QMS-PRO-009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Procedure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QMS-REG-CCR-001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Customer Complaints Register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QMS-FRM-NCR-001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Nonconformance Report Form</w:t>
            </w:r>
          </w:p>
        </w:tc>
      </w:tr>
      <w:tr>
        <w:tc>
          <w:tcPr>
            <w:tcW w:type="dxa" w:w="30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QMS-FRM-CAR-001</w:t>
            </w:r>
          </w:p>
        </w:tc>
        <w:tc>
          <w:tcPr>
            <w:tcW w:type="dxa" w:w="63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Corrective Action Request Form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rPr>
          <w:tblHeader/>
        </w:trP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Role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Name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Signature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b/>
                <w:bCs/>
              </w:rPr>
              <w:t xml:space="preserve">Date</w:t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Quality Manager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  <w:tr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>Managing Director</w:t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  <w:tc>
          <w:tcPr>
            <w:tcW w:type="dxa" w:w="23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t xml:space="preserve"/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BF8F00" w:sz="12"/>
              <w:left w:val="single" w:color="BF8F00" w:sz="12"/>
              <w:bottom w:val="single" w:color="BF8F00" w:sz="4"/>
              <w:right w:val="single" w:color="BF8F00" w:sz="12"/>
            </w:tcBorders>
            <w:shd w:fill="BF8F00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FFFFFF"/>
                <w:sz w:val="22"/>
                <w:szCs w:val="22"/>
              </w:rPr>
              <w:t xml:space="preserve">✎  HOW TO COMPLETE THIS DOCUMENT  —  DELETE THIS SECTION BEFORE PUBLISHING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i/>
                <w:iCs/>
                <w:color w:val="806000"/>
                <w:sz w:val="20"/>
                <w:szCs w:val="20"/>
              </w:rPr>
              <w:t xml:space="preserve">Use these notes to tailor, complete and finalise this document before publication. Delete this section once done.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1. Set dollar thresholds throughout the procedure</w:t>
            </w:r>
          </w:p>
          <w:p>
            <w:r>
              <w:rPr>
                <w:color w:val="806000"/>
                <w:sz w:val="20"/>
                <w:szCs w:val="20"/>
              </w:rPr>
              <w:t xml:space="preserve">Replace [X1], [X2], [X3], [X4] with actual values. Get MD and CFO sign-off on the thresholds for compensation authority.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2. Publish a complaint channel for customers</w:t>
            </w:r>
          </w:p>
          <w:p>
            <w:r>
              <w:rPr>
                <w:color w:val="806000"/>
                <w:sz w:val="20"/>
                <w:szCs w:val="20"/>
              </w:rPr>
              <w:t xml:space="preserve">Decide where customers send complaints (e.g. complaints@veridian.com.au or 1300 number). Publish on website, quotation footers, COCs and invoices.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3. Train customer-facing staff</w:t>
            </w:r>
          </w:p>
          <w:p>
            <w:r>
              <w:rPr>
                <w:color w:val="806000"/>
                <w:sz w:val="20"/>
                <w:szCs w:val="20"/>
              </w:rPr>
              <w:t xml:space="preserve">Reception, sales, account managers all need a 30-minute briefing on this procedure — what to do when a complaint arrives.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4. Build the acknowledgement letter / email template</w:t>
            </w:r>
          </w:p>
          <w:p>
            <w:r>
              <w:rPr>
                <w:color w:val="806000"/>
                <w:sz w:val="20"/>
                <w:szCs w:val="20"/>
              </w:rPr>
              <w:t xml:space="preserve">Standard wording that doesn't admit liability, gives a reference, names a contact, and states the timeframe.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5. Build the customer satisfaction survey</w:t>
            </w:r>
          </w:p>
          <w:p>
            <w:r>
              <w:rPr>
                <w:color w:val="806000"/>
                <w:sz w:val="20"/>
                <w:szCs w:val="20"/>
              </w:rPr>
              <w:t xml:space="preserve">5 short questions: overall (1-5), quality, delivery, communication, likelihood to recommend. Automate distribution 10 days post-delivery.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6. Set up the follow-up call schedule for key accounts</w:t>
            </w:r>
          </w:p>
          <w:p>
            <w:r>
              <w:rPr>
                <w:color w:val="806000"/>
                <w:sz w:val="20"/>
                <w:szCs w:val="20"/>
              </w:rPr>
              <w:t xml:space="preserve">Identify your top 10 accounts by revenue. Diarise quarterly QM check-in calls.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7. Confirm escalation contact details</w:t>
            </w:r>
          </w:p>
          <w:p>
            <w:r>
              <w:rPr>
                <w:color w:val="806000"/>
                <w:sz w:val="20"/>
                <w:szCs w:val="20"/>
              </w:rPr>
              <w:t xml:space="preserve">MD personal mobile, after-hours contact for safety/regulatory issues. Make sure receptionist knows when to interrupt the MD.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8. Verify CAR linkage and CCR register integration</w:t>
            </w:r>
          </w:p>
          <w:p>
            <w:r>
              <w:rPr>
                <w:color w:val="806000"/>
                <w:sz w:val="20"/>
                <w:szCs w:val="20"/>
              </w:rPr>
              <w:t xml:space="preserve">Every Severity 1 and 2 complaint MUST trigger a CAR. Check the workflow.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9. Sign and publish</w:t>
            </w:r>
          </w:p>
          <w:p>
            <w:r>
              <w:rPr>
                <w:color w:val="806000"/>
                <w:sz w:val="20"/>
                <w:szCs w:val="20"/>
              </w:rPr>
              <w:t xml:space="preserve">Quality Manager and MD sign. Publish on QMS Portal.</w:t>
            </w:r>
          </w:p>
        </w:tc>
      </w:tr>
      <w:tr>
        <w:tc>
          <w:tcPr>
            <w:tcW w:type="dxa" w:w="9360"/>
            <w:tcBorders>
              <w:top w:val="none"/>
              <w:left w:val="single" w:color="BF8F00" w:sz="12"/>
              <w:bottom w:val="single" w:color="BF8F00" w:sz="12"/>
              <w:right w:val="single" w:color="BF8F00" w:sz="12"/>
            </w:tcBorders>
            <w:shd w:fill="FFF2CC" w:val="clear"/>
            <w:tcMar>
              <w:top w:type="dxa" w:w="120"/>
              <w:left w:type="dxa" w:w="200"/>
              <w:bottom w:type="dxa" w:w="120"/>
              <w:right w:type="dxa" w:w="200"/>
            </w:tcMar>
          </w:tcPr>
          <w:p>
            <w:r>
              <w:rPr>
                <w:b/>
                <w:bCs/>
                <w:color w:val="806000"/>
                <w:sz w:val="20"/>
                <w:szCs w:val="20"/>
              </w:rPr>
              <w:t xml:space="preserve">10. DELETE this guidance section before publishing</w:t>
            </w:r>
          </w:p>
          <w:p>
            <w:r>
              <w:rPr>
                <w:color w:val="806000"/>
                <w:sz w:val="20"/>
                <w:szCs w:val="20"/>
              </w:rPr>
              <w:t xml:space="preserve">Select the entire yellow-bordered block and delete.</w:t>
            </w:r>
          </w:p>
        </w:tc>
      </w:tr>
    </w:tbl>
    <w:p>
      <w:pPr>
        <w:spacing w:after="120"/>
      </w:pPr>
      <w:r>
        <w:t xml:space="preserve">QMS-PRO-002  •  Rev 2.0CONTROLLED DOCUMENT — verify currency before usePage  of</w:t>
      </w:r>
    </w:p>
    <w:sectPr>
      <w:headerReference w:type="default" r:id="rId7"/>
      <w:footerReference w:type="default" r:id="rId8"/>
      <w:pgSz w:w="11906" w:h="16838"/>
      <w:pgMar w:top="1700" w:right="1440" w:bottom="1440" w:left="1440" w:header="720" w:footer="72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p>
    <w:pPr>
      <w:pBdr>
        <w:top w:val="single" w:color="BFBFBF" w:sz="4" w:space="4"/>
      </w:pBdr>
      <w:tabs>
        <w:tab w:val="center" w:pos="4680"/>
        <w:tab w:val="right" w:pos="9360"/>
      </w:tabs>
    </w:pPr>
    <w:r>
      <w:rPr>
        <w:color w:val="595959"/>
        <w:sz w:val="16"/>
        <w:szCs w:val="16"/>
      </w:rPr>
      <w:t xml:space="preserve">QMS-PRO-002  •  Rev 2.0</w:t>
    </w:r>
    <w:r>
      <w:rPr>
        <w:sz w:val="16"/>
        <w:szCs w:val="16"/>
      </w:rPr>
      <w:t>	</w:t>
    </w:r>
    <w:r>
      <w:rPr>
        <w:i/>
        <w:iCs/>
        <w:color w:val="595959"/>
        <w:sz w:val="16"/>
        <w:szCs w:val="16"/>
      </w:rPr>
      <w:t xml:space="preserve">CONTROLLED DOCUMENT — verify currency before use</w:t>
    </w:r>
    <w:r>
      <w:rPr>
        <w:sz w:val="16"/>
        <w:szCs w:val="16"/>
      </w:rPr>
      <w:t>	</w:t>
    </w:r>
    <w:r>
      <w:rPr>
        <w:color w:val="595959"/>
        <w:sz w:val="16"/>
        <w:szCs w:val="16"/>
      </w:rPr>
      <w:t xml:space="preserve">Page </w:t>
    </w:r>
    <w:r>
      <w:rPr>
        <w:color w:val="595959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r="http://schemas.openxmlformats.org/officeDocument/2006/relationships" xmlns:mc="http://schemas.openxmlformats.org/markup-compatibility/2006" xmlns:m="http://schemas.openxmlformats.org/officeDocument/2006/math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s="http://schemas.microsoft.com/office/word/2010/wordprocessingShape" mc:Ignorable="w14 w15">
  <w:tbl>
    <w:tblPr>
      <w:tblW w:type="dxa" w:w="9360"/>
      <w:tblBorders>
        <w:top w:val="none" w:sz="0"/>
        <w:left w:val="none" w:sz="0"/>
        <w:bottom w:val="single" w:color="000000" w:sz="8"/>
        <w:right w:val="none" w:sz="0"/>
        <w:insideH w:val="none" w:sz="0"/>
        <w:insideV w:val="none" w:sz="0"/>
      </w:tblBorders>
    </w:tblPr>
    <w:tblGrid>
      <w:gridCol w:w="2400"/>
      <w:gridCol w:w="5160"/>
      <w:gridCol w:w="1800"/>
    </w:tblGrid>
    <w:tr>
      <w:tc>
        <w:tcPr>
          <w:tcW w:type="dxa" w:w="24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r>
            <w:rPr>
              <w:b/>
              <w:bCs/>
              <w:sz w:val="22"/>
              <w:szCs w:val="22"/>
            </w:rPr>
            <w:t xml:space="preserve">[ORGANISATION NAME]</w:t>
          </w:r>
        </w:p>
      </w:tc>
      <w:tc>
        <w:tcPr>
          <w:tcW w:type="dxa" w:w="516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spacing w:after="20"/>
            <w:jc w:val="center"/>
          </w:pPr>
          <w:r>
            <w:rPr>
              <w:b/>
              <w:bCs/>
              <w:sz w:val="20"/>
              <w:szCs w:val="20"/>
            </w:rPr>
            <w:t xml:space="preserve">Customer Complaints</w:t>
          </w:r>
        </w:p>
        <w:p>
          <w:pPr>
            <w:jc w:val="center"/>
          </w:pPr>
          <w:r>
            <w:rPr>
              <w:i/>
              <w:iCs/>
              <w:color w:val="595959"/>
              <w:sz w:val="16"/>
              <w:szCs w:val="16"/>
            </w:rPr>
            <w:t xml:space="preserve">ISO 9001:2015 — Cl. 8.2.1, 9.1.2</w:t>
          </w:r>
        </w:p>
      </w:tc>
      <w:tc>
        <w:tcPr>
          <w:tcW w:type="dxa" w:w="1800"/>
          <w:tcBorders>
            <w:top w:val="none" w:sz="0"/>
            <w:left w:val="none" w:sz="0"/>
            <w:bottom w:val="single" w:color="000000" w:sz="8"/>
            <w:right w:val="none" w:sz="0"/>
          </w:tcBorders>
          <w:tcMar>
            <w:top w:type="dxa" w:w="60"/>
            <w:left w:type="dxa" w:w="80"/>
            <w:bottom w:type="dxa" w:w="80"/>
            <w:right w:type="dxa" w:w="80"/>
          </w:tcMar>
          <w:vAlign w:val="center"/>
        </w:tcPr>
        <w:p>
          <w:pPr>
            <w:jc w:val="right"/>
          </w:pPr>
          <w:r>
            <w:rPr>
              <w:b/>
              <w:bCs/>
              <w:sz w:val="18"/>
              <w:szCs w:val="18"/>
            </w:rPr>
            <w:t xml:space="preserve">QMS-PRO-002</w:t>
          </w:r>
        </w:p>
      </w:tc>
    </w:tr>
  </w:tbl>
  <w:p>
    <w:pPr>
      <w:spacing w:after="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70"/>
      </w:pPr>
    </w:lvl>
    <w:lvl w:ilvl="1" w15:tentative="1">
      <w:start w:val="1"/>
      <w:numFmt w:val="bullet"/>
      <w:lvlText w:val="○"/>
      <w:lvlJc w:val="left"/>
      <w:pPr>
        <w:ind w:left="1080" w:hanging="27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40" w:hanging="360"/>
      </w:pPr>
    </w:lvl>
    <w:lvl w:ilvl="1" w15:tentative="1">
      <w:start w:val="1"/>
      <w:numFmt w:val="lowerLetter"/>
      <w:lvlText w:val="%2."/>
      <w:lvlJc w:val="left"/>
      <w:pPr>
        <w:ind w:left="10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80"/>
      <w:outlineLvl w:val="0"/>
    </w:pPr>
    <w:rPr>
      <w:rFonts w:ascii="Calibri" w:cs="Calibri" w:eastAsia="Calibri" w:hAnsi="Calibri"/>
      <w:b/>
      <w:bCs/>
      <w:color w:val="000000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00" w:before="200"/>
      <w:outlineLvl w:val="1"/>
    </w:pPr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80" w:before="160"/>
      <w:outlineLvl w:val="2"/>
    </w:pPr>
    <w:rPr>
      <w:rFonts w:ascii="Calibri" w:cs="Calibri" w:eastAsia="Calibri" w:hAnsi="Calibri"/>
      <w:b/>
      <w:bCs/>
      <w:color w:val="00000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customXml" Target="../customXml/item1.xml"/><Relationship Id="rId4" Type="http://schemas.openxmlformats.org/officeDocument/2006/relationships/endnotes" Target="endnotes.xml"/><Relationship Id="rId9" Type="http://schemas.openxmlformats.org/officeDocument/2006/relationships/fontTable" Target="fontTable.xml"/><Relationship Id="rId13" Type="http://schemas.openxmlformats.org/officeDocument/2006/relationships/image" Target="media/veridian-brand-logo.jpe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?>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?>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6364ACEF46547A497B4A5415725FE" ma:contentTypeVersion="12" ma:contentTypeDescription="Create a new document." ma:contentTypeScope="" ma:versionID="ab1c4ce4049acbd08511e59f4651f980">
  <xsd:schema xmlns:xsd="http://www.w3.org/2001/XMLSchema" xmlns:xs="http://www.w3.org/2001/XMLSchema" xmlns:p="http://schemas.microsoft.com/office/2006/metadata/properties" xmlns:ns2="4a866069-fdb1-4df2-8c46-d5413dfe9f74" xmlns:ns3="d3771acf-91e9-423a-a822-9232ae7f0a01" targetNamespace="http://schemas.microsoft.com/office/2006/metadata/properties" ma:root="true" ma:fieldsID="1ab1b480d1a19c9e738f994221842227" ns2:_="" ns3:_="">
    <xsd:import namespace="4a866069-fdb1-4df2-8c46-d5413dfe9f74"/>
    <xsd:import namespace="d3771acf-91e9-423a-a822-9232ae7f0a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66069-fdb1-4df2-8c46-d5413dfe9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4a9f55f-dce0-4ad3-86af-47d936011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Notes" ma:index="19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71acf-91e9-423a-a822-9232ae7f0a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295e18d-3db4-4792-a8ff-b8fb91af6e3b}" ma:internalName="TaxCatchAll" ma:showField="CatchAllData" ma:web="d3771acf-91e9-423a-a822-9232ae7f0a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71acf-91e9-423a-a822-9232ae7f0a01" xsi:nil="true"/>
    <lcf76f155ced4ddcb4097134ff3c332f xmlns="4a866069-fdb1-4df2-8c46-d5413dfe9f74">
      <Terms xmlns="http://schemas.microsoft.com/office/infopath/2007/PartnerControls"/>
    </lcf76f155ced4ddcb4097134ff3c332f>
    <Notes xmlns="4a866069-fdb1-4df2-8c46-d5413dfe9f74" xsi:nil="true"/>
  </documentManagement>
</p:properties>
</file>

<file path=customXml/itemProps1.xml><?xml version="1.0" encoding="utf-8"?>
<ds:datastoreItem xmlns:ds="http://schemas.openxmlformats.org/officeDocument/2006/customXml" ds:itemID="{2083B6A1-CA05-4CEA-A595-445583B400E2}"/>
</file>

<file path=customXml/itemProps2.xml><?xml version="1.0" encoding="utf-8"?>
<ds:datastoreItem xmlns:ds="http://schemas.openxmlformats.org/officeDocument/2006/customXml" ds:itemID="{8824205E-1F63-429B-9DA2-8D553614ED5E}"/>
</file>

<file path=customXml/itemProps3.xml><?xml version="1.0" encoding="utf-8"?>
<ds:datastoreItem xmlns:ds="http://schemas.openxmlformats.org/officeDocument/2006/customXml" ds:itemID="{52D0A115-D5F7-4542-81BC-795A1608912B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2026-05-29T22:54:00Z</dcterms:created>
  <dcterms:modified xsi:type="dcterms:W3CDTF">2026-05-29T22:54:00Z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0x0101008FC6364ACEF46547A497B4A5415725FE</vt:lpwstr>
  </property>
</Properties>
</file>