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body>
    <w:p>
      <w:pPr>
        <w:spacing w:after="240" w:before="0"/>
      </w:pPr>
      <w:r>
        <w:rPr>
          <w:b/>
          <w:bCs/>
          <w:sz w:val="36"/>
          <w:szCs w:val="36"/>
        </w:rPr>
        <w:t xml:space="preserve">Quality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QMS-POL-001</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9001:2015 Cl. 5.2</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Revision</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2.0</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Issue Date</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Review Frequency</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Annual</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r>
    </w:tbl>
    <w:p>
      <w:pPr>
        <w:pStyle w:val="Heading1"/>
        <w:spacing w:after="160" w:before="280"/>
      </w:pPr>
      <w:r>
        <w:t xml:space="preserve">1. Policy Statement</w:t>
      </w:r>
    </w:p>
    <w:p>
      <w:pPr>
        <w:spacing w:after="120"/>
      </w:pPr>
      <w:r>
        <w:t xml:space="preserve">[Organisation Name] is committed to delivering products and services that consistently meet or exceed customer requirements and all applicable statutory and regulatory requirements of the jurisdictions in which we operate.</w:t>
      </w:r>
    </w:p>
    <w:p>
      <w:pPr>
        <w:spacing w:after="120"/>
      </w:pPr>
      <w:r>
        <w:t xml:space="preserve">This commitment is non-negotiable. It is embedded in the way we plan, resource, execute, monitor and improve our work, and it applies to every employee, contractor, subcontractor and supplier acting on behalf of [Organisation Name].</w:t>
      </w:r>
    </w:p>
    <w:p>
      <w:pPr>
        <w:pStyle w:val="Heading1"/>
        <w:spacing w:after="160" w:before="280"/>
      </w:pPr>
      <w:r>
        <w:t xml:space="preserve">2. Strategic Intent</w:t>
      </w:r>
    </w:p>
    <w:p>
      <w:pPr>
        <w:spacing w:after="120"/>
      </w:pPr>
      <w:r>
        <w:t xml:space="preserve">Through a mature Quality Management System we will:</w:t>
      </w:r>
    </w:p>
    <w:p>
      <w:pPr>
        <w:pStyle w:val="ListParagraph"/>
        <w:numPr>
          <w:ilvl w:val="0"/>
          <w:numId w:val="2"/>
        </w:numPr>
        <w:spacing w:after="60"/>
      </w:pPr>
      <w:r>
        <w:t xml:space="preserve">Build durable customer relationships by being predictable, transparent and accountable on every contract.</w:t>
      </w:r>
    </w:p>
    <w:p>
      <w:pPr>
        <w:pStyle w:val="ListParagraph"/>
        <w:numPr>
          <w:ilvl w:val="0"/>
          <w:numId w:val="2"/>
        </w:numPr>
        <w:spacing w:after="60"/>
      </w:pPr>
      <w:r>
        <w:t xml:space="preserve">Reduce the cost of poor quality — rework, warranty, complaints, scrap and recovery — by preventing defects rather than detecting them.</w:t>
      </w:r>
    </w:p>
    <w:p>
      <w:pPr>
        <w:pStyle w:val="ListParagraph"/>
        <w:numPr>
          <w:ilvl w:val="0"/>
          <w:numId w:val="2"/>
        </w:numPr>
        <w:spacing w:after="60"/>
      </w:pPr>
      <w:r>
        <w:t xml:space="preserve">Protect our brand, our certifications and our licence to operate.</w:t>
      </w:r>
    </w:p>
    <w:p>
      <w:pPr>
        <w:pStyle w:val="ListParagraph"/>
        <w:numPr>
          <w:ilvl w:val="0"/>
          <w:numId w:val="2"/>
        </w:numPr>
        <w:spacing w:after="60"/>
      </w:pPr>
      <w:r>
        <w:t xml:space="preserve">Continuously improve our processes, our people and our products through data-driven decision making.</w:t>
      </w:r>
    </w:p>
    <w:p>
      <w:pPr>
        <w:pStyle w:val="ListParagraph"/>
        <w:numPr>
          <w:ilvl w:val="0"/>
          <w:numId w:val="2"/>
        </w:numPr>
        <w:spacing w:after="60"/>
      </w:pPr>
      <w:r>
        <w:t xml:space="preserve">Support the achievement of our other management system objectives — safety, environment, information security — through shared discipline and shared records.</w:t>
      </w:r>
    </w:p>
    <w:p>
      <w:pPr>
        <w:pStyle w:val="Heading1"/>
        <w:spacing w:after="160" w:before="280"/>
      </w:pPr>
      <w:r>
        <w:t xml:space="preserve">3. Our Commitments</w:t>
      </w:r>
    </w:p>
    <w:p>
      <w:pPr>
        <w:pStyle w:val="Heading2"/>
        <w:spacing w:after="100" w:before="200"/>
      </w:pPr>
      <w:r>
        <w:t xml:space="preserve">3.1 Customer Focus</w:t>
      </w:r>
    </w:p>
    <w:p>
      <w:pPr>
        <w:pStyle w:val="ListParagraph"/>
        <w:numPr>
          <w:ilvl w:val="0"/>
          <w:numId w:val="2"/>
        </w:numPr>
        <w:spacing w:after="60"/>
      </w:pPr>
      <w:r>
        <w:t xml:space="preserve">Understand customer needs and expectations before committing to any order, tender or contract.</w:t>
      </w:r>
    </w:p>
    <w:p>
      <w:pPr>
        <w:pStyle w:val="ListParagraph"/>
        <w:numPr>
          <w:ilvl w:val="0"/>
          <w:numId w:val="2"/>
        </w:numPr>
        <w:spacing w:after="60"/>
      </w:pPr>
      <w:r>
        <w:t xml:space="preserve">Translate those needs into clear, measurable acceptance criteria within our processes.</w:t>
      </w:r>
    </w:p>
    <w:p>
      <w:pPr>
        <w:pStyle w:val="ListParagraph"/>
        <w:numPr>
          <w:ilvl w:val="0"/>
          <w:numId w:val="2"/>
        </w:numPr>
        <w:spacing w:after="60"/>
      </w:pPr>
      <w:r>
        <w:t xml:space="preserve">Monitor customer satisfaction actively — through surveys, direct dialogue, complaint analysis and repeat business.</w:t>
      </w:r>
    </w:p>
    <w:p>
      <w:pPr>
        <w:pStyle w:val="ListParagraph"/>
        <w:numPr>
          <w:ilvl w:val="0"/>
          <w:numId w:val="2"/>
        </w:numPr>
        <w:spacing w:after="60"/>
      </w:pPr>
      <w:r>
        <w:t xml:space="preserve">Respond to complaints promptly, transparently and with genuine corrective action.</w:t>
      </w:r>
    </w:p>
    <w:p>
      <w:pPr>
        <w:pStyle w:val="Heading2"/>
        <w:spacing w:after="100" w:before="200"/>
      </w:pPr>
      <w:r>
        <w:t xml:space="preserve">3.2 Conformance to Requirements</w:t>
      </w:r>
    </w:p>
    <w:p>
      <w:pPr>
        <w:pStyle w:val="ListParagraph"/>
        <w:numPr>
          <w:ilvl w:val="0"/>
          <w:numId w:val="2"/>
        </w:numPr>
        <w:spacing w:after="60"/>
      </w:pPr>
      <w:r>
        <w:t xml:space="preserve">Comply with all applicable statutory and regulatory requirements, customer specifications, applicable standards and codes of practice.</w:t>
      </w:r>
    </w:p>
    <w:p>
      <w:pPr>
        <w:pStyle w:val="ListParagraph"/>
        <w:numPr>
          <w:ilvl w:val="0"/>
          <w:numId w:val="2"/>
        </w:numPr>
        <w:spacing w:after="60"/>
      </w:pPr>
      <w:r>
        <w:t xml:space="preserve">Operate a Quality Management System that conforms to ISO 9001:2015.</w:t>
      </w:r>
    </w:p>
    <w:p>
      <w:pPr>
        <w:pStyle w:val="ListParagraph"/>
        <w:numPr>
          <w:ilvl w:val="0"/>
          <w:numId w:val="2"/>
        </w:numPr>
        <w:spacing w:after="60"/>
      </w:pPr>
      <w:r>
        <w:t xml:space="preserve">Maintain accurate, accessible, retrievable records of conformance.</w:t>
      </w:r>
    </w:p>
    <w:p>
      <w:pPr>
        <w:pStyle w:val="Heading2"/>
        <w:spacing w:after="100" w:before="200"/>
      </w:pPr>
      <w:r>
        <w:t xml:space="preserve">3.3 Risk-Based Thinking</w:t>
      </w:r>
    </w:p>
    <w:p>
      <w:pPr>
        <w:pStyle w:val="ListParagraph"/>
        <w:numPr>
          <w:ilvl w:val="0"/>
          <w:numId w:val="2"/>
        </w:numPr>
        <w:spacing w:after="60"/>
      </w:pPr>
      <w:r>
        <w:t xml:space="preserve">Identify risks and opportunities that could affect our ability to meet requirements.</w:t>
      </w:r>
    </w:p>
    <w:p>
      <w:pPr>
        <w:pStyle w:val="ListParagraph"/>
        <w:numPr>
          <w:ilvl w:val="0"/>
          <w:numId w:val="2"/>
        </w:numPr>
        <w:spacing w:after="60"/>
      </w:pPr>
      <w:r>
        <w:t xml:space="preserve">Apply proportionate controls — neither over-engineered nor under-protected.</w:t>
      </w:r>
    </w:p>
    <w:p>
      <w:pPr>
        <w:pStyle w:val="ListParagraph"/>
        <w:numPr>
          <w:ilvl w:val="0"/>
          <w:numId w:val="2"/>
        </w:numPr>
        <w:spacing w:after="60"/>
      </w:pPr>
      <w:r>
        <w:t xml:space="preserve">Plan changes carefully; assess impacts before changes are introduced.</w:t>
      </w:r>
    </w:p>
    <w:p>
      <w:pPr>
        <w:pStyle w:val="Heading2"/>
        <w:spacing w:after="100" w:before="200"/>
      </w:pPr>
      <w:r>
        <w:t xml:space="preserve">3.4 Leadership and Accountability</w:t>
      </w:r>
    </w:p>
    <w:p>
      <w:pPr>
        <w:pStyle w:val="ListParagraph"/>
        <w:numPr>
          <w:ilvl w:val="0"/>
          <w:numId w:val="2"/>
        </w:numPr>
        <w:spacing w:after="60"/>
      </w:pPr>
      <w:r>
        <w:t xml:space="preserve">Top management takes accountability for the effectiveness of the QMS.</w:t>
      </w:r>
    </w:p>
    <w:p>
      <w:pPr>
        <w:pStyle w:val="ListParagraph"/>
        <w:numPr>
          <w:ilvl w:val="0"/>
          <w:numId w:val="2"/>
        </w:numPr>
        <w:spacing w:after="60"/>
      </w:pPr>
      <w:r>
        <w:t xml:space="preserve">Every manager is accountable for quality performance within their area of control.</w:t>
      </w:r>
    </w:p>
    <w:p>
      <w:pPr>
        <w:pStyle w:val="ListParagraph"/>
        <w:numPr>
          <w:ilvl w:val="0"/>
          <w:numId w:val="2"/>
        </w:numPr>
        <w:spacing w:after="60"/>
      </w:pPr>
      <w:r>
        <w:t xml:space="preserve">Quality objectives are set at relevant functions and levels, are measurable, and are reviewed regularly.</w:t>
      </w:r>
    </w:p>
    <w:p>
      <w:pPr>
        <w:pStyle w:val="ListParagraph"/>
        <w:numPr>
          <w:ilvl w:val="0"/>
          <w:numId w:val="2"/>
        </w:numPr>
        <w:spacing w:after="60"/>
      </w:pPr>
      <w:r>
        <w:t xml:space="preserve">Adequate resources — people, equipment, infrastructure, budget — are provided to deliver this policy.</w:t>
      </w:r>
    </w:p>
    <w:p>
      <w:pPr>
        <w:pStyle w:val="Heading2"/>
        <w:spacing w:after="100" w:before="200"/>
      </w:pPr>
      <w:r>
        <w:t xml:space="preserve">3.5 Engagement and Competence</w:t>
      </w:r>
    </w:p>
    <w:p>
      <w:pPr>
        <w:pStyle w:val="ListParagraph"/>
        <w:numPr>
          <w:ilvl w:val="0"/>
          <w:numId w:val="2"/>
        </w:numPr>
        <w:spacing w:after="60"/>
      </w:pPr>
      <w:r>
        <w:t xml:space="preserve">Recruit, train and develop people who are competent for the work they perform.</w:t>
      </w:r>
    </w:p>
    <w:p>
      <w:pPr>
        <w:pStyle w:val="ListParagraph"/>
        <w:numPr>
          <w:ilvl w:val="0"/>
          <w:numId w:val="2"/>
        </w:numPr>
        <w:spacing w:after="60"/>
      </w:pPr>
      <w:r>
        <w:t xml:space="preserve">Communicate the relevance of quality to every role.</w:t>
      </w:r>
    </w:p>
    <w:p>
      <w:pPr>
        <w:pStyle w:val="ListParagraph"/>
        <w:numPr>
          <w:ilvl w:val="0"/>
          <w:numId w:val="2"/>
        </w:numPr>
        <w:spacing w:after="60"/>
      </w:pPr>
      <w:r>
        <w:t xml:space="preserve">Encourage every employee to raise concerns, suggest improvements and report nonconformance without fear of blame.</w:t>
      </w:r>
    </w:p>
    <w:p>
      <w:pPr>
        <w:pStyle w:val="Heading2"/>
        <w:spacing w:after="100" w:before="200"/>
      </w:pPr>
      <w:r>
        <w:t xml:space="preserve">3.6 Supplier and Partner Performance</w:t>
      </w:r>
    </w:p>
    <w:p>
      <w:pPr>
        <w:pStyle w:val="ListParagraph"/>
        <w:numPr>
          <w:ilvl w:val="0"/>
          <w:numId w:val="2"/>
        </w:numPr>
        <w:spacing w:after="60"/>
      </w:pPr>
      <w:r>
        <w:t xml:space="preserve">Work only with suppliers and subcontractors who can demonstrate the capability and commitment to meet our requirements.</w:t>
      </w:r>
    </w:p>
    <w:p>
      <w:pPr>
        <w:pStyle w:val="ListParagraph"/>
        <w:numPr>
          <w:ilvl w:val="0"/>
          <w:numId w:val="2"/>
        </w:numPr>
        <w:spacing w:after="60"/>
      </w:pPr>
      <w:r>
        <w:t xml:space="preserve">Communicate our quality requirements clearly and verify supplier performance against them.</w:t>
      </w:r>
    </w:p>
    <w:p>
      <w:pPr>
        <w:pStyle w:val="ListParagraph"/>
        <w:numPr>
          <w:ilvl w:val="0"/>
          <w:numId w:val="2"/>
        </w:numPr>
        <w:spacing w:after="60"/>
      </w:pPr>
      <w:r>
        <w:t xml:space="preserve">Treat suppliers fairly — clear specifications, prompt payment, honest feedback.</w:t>
      </w:r>
    </w:p>
    <w:p>
      <w:pPr>
        <w:pStyle w:val="Heading2"/>
        <w:spacing w:after="100" w:before="200"/>
      </w:pPr>
      <w:r>
        <w:t xml:space="preserve">3.7 Continual Improvement</w:t>
      </w:r>
    </w:p>
    <w:p>
      <w:pPr>
        <w:pStyle w:val="ListParagraph"/>
        <w:numPr>
          <w:ilvl w:val="0"/>
          <w:numId w:val="2"/>
        </w:numPr>
        <w:spacing w:after="60"/>
      </w:pPr>
      <w:r>
        <w:t xml:space="preserve">Treat every nonconformance, complaint and audit finding as an opportunity to improve.</w:t>
      </w:r>
    </w:p>
    <w:p>
      <w:pPr>
        <w:pStyle w:val="ListParagraph"/>
        <w:numPr>
          <w:ilvl w:val="0"/>
          <w:numId w:val="2"/>
        </w:numPr>
        <w:spacing w:after="60"/>
      </w:pPr>
      <w:r>
        <w:t xml:space="preserve">Use objective data — KPIs, trends, root-cause analysis — to drive change.</w:t>
      </w:r>
    </w:p>
    <w:p>
      <w:pPr>
        <w:pStyle w:val="ListParagraph"/>
        <w:numPr>
          <w:ilvl w:val="0"/>
          <w:numId w:val="2"/>
        </w:numPr>
        <w:spacing w:after="60"/>
      </w:pPr>
      <w:r>
        <w:t xml:space="preserve">Review the suitability, adequacy and effectiveness of the QMS at least annually at Management Review.</w:t>
      </w:r>
    </w:p>
    <w:p>
      <w:pPr>
        <w:pStyle w:val="Heading1"/>
        <w:spacing w:after="160" w:before="280"/>
      </w:pPr>
      <w:r>
        <w:t xml:space="preserve">4. Management Accountability</w:t>
      </w:r>
    </w:p>
    <w:p>
      <w:pPr>
        <w:spacing w:after="120"/>
      </w:pPr>
      <w:r>
        <w:t xml:space="preserve">The Managing Director is personally accountable for this policy and for ensuring the resources, structure and culture exist to deliver it. The Quality Manager holds delegated authority to operate, monitor, audit and report on the Quality Management System.</w:t>
      </w:r>
    </w:p>
    <w:p>
      <w:pPr>
        <w:spacing w:after="120"/>
      </w:pPr>
      <w:r>
        <w:t xml:space="preserve">All managers and supervisors are responsible for the quality performance of work performed under their direction. All employees and contractors are responsible for following established procedures and reporting any condition or output that does not conform.</w:t>
      </w:r>
    </w:p>
    <w:p>
      <w:pPr>
        <w:pStyle w:val="Heading1"/>
        <w:spacing w:after="160" w:before="280"/>
      </w:pPr>
      <w:r>
        <w:t xml:space="preserve">5. Communication and Availability</w:t>
      </w:r>
    </w:p>
    <w:p>
      <w:pPr>
        <w:spacing w:after="120"/>
      </w:pPr>
      <w:r>
        <w:t xml:space="preserve">This policy is:</w:t>
      </w:r>
    </w:p>
    <w:p>
      <w:pPr>
        <w:pStyle w:val="ListParagraph"/>
        <w:numPr>
          <w:ilvl w:val="0"/>
          <w:numId w:val="2"/>
        </w:numPr>
        <w:spacing w:after="60"/>
      </w:pPr>
      <w:r>
        <w:t xml:space="preserve">Communicated to every employee during induction.</w:t>
      </w:r>
    </w:p>
    <w:p>
      <w:pPr>
        <w:pStyle w:val="ListParagraph"/>
        <w:numPr>
          <w:ilvl w:val="0"/>
          <w:numId w:val="2"/>
        </w:numPr>
        <w:spacing w:after="60"/>
      </w:pPr>
      <w:r>
        <w:t xml:space="preserve">Displayed in workplaces and on the intranet.</w:t>
      </w:r>
    </w:p>
    <w:p>
      <w:pPr>
        <w:pStyle w:val="ListParagraph"/>
        <w:numPr>
          <w:ilvl w:val="0"/>
          <w:numId w:val="2"/>
        </w:numPr>
        <w:spacing w:after="60"/>
      </w:pPr>
      <w:r>
        <w:t xml:space="preserve">Made available to customers, suppliers, regulators and other interested parties on request.</w:t>
      </w:r>
    </w:p>
    <w:p>
      <w:pPr>
        <w:pStyle w:val="ListParagraph"/>
        <w:numPr>
          <w:ilvl w:val="0"/>
          <w:numId w:val="2"/>
        </w:numPr>
        <w:spacing w:after="60"/>
      </w:pPr>
      <w:r>
        <w:t xml:space="preserve">Reviewed at least annually at Management Review for continuing suitability.</w:t>
      </w:r>
    </w:p>
    <w:p>
      <w:pPr>
        <w:spacing w:after="120"/>
      </w:pPr>
      <w:r>
        <w:t xml:space="preserve">This Quality Policy is issued under the authority of the Managing Director. It supersedes all previous quality policy statements and takes effect from the issue date above.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Name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Signature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Date</w:t>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Reviewed By</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bl>
    <w:p>
      <w:pPr>
        <w:pStyle w:val="Heading1"/>
        <w:spacing w:after="160" w:before="280"/>
      </w:pPr>
      <w:r>
        <w:t xml:space="preserve">Related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63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Title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QMS-MAN-001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Management Plan</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QMS-SCO-001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 Scope Document</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QMS-REG-OBJ-001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Objectives Register</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8F00" w:sz="12"/>
              <w:left w:val="single" w:color="BF8F00" w:sz="12"/>
              <w:bottom w:val="single" w:color="BF8F00" w:sz="4"/>
              <w:right w:val="single" w:color="BF8F00" w:sz="12"/>
            </w:tcBorders>
            <w:shd w:fill="BF8F00" w:val="clear"/>
            <w:tcMar>
              <w:top w:type="dxa" w:w="120"/>
              <w:left w:type="dxa" w:w="200"/>
              <w:bottom w:type="dxa" w:w="120"/>
              <w:right w:type="dxa" w:w="200"/>
            </w:tcMar>
          </w:tcPr>
          <w:p>
            <w:r>
              <w:rPr>
                <w:b/>
                <w:bCs/>
                <w:color w:val="FFFFFF"/>
                <w:sz w:val="22"/>
                <w:szCs w:val="22"/>
              </w:rPr>
              <w:t xml:space="preserve">✎  HOW TO COMPLETE THIS DOCUMENT  —  DELETE THIS SECTION BEFORE PUBLISHING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i/>
                <w:iCs/>
                <w:color w:val="806000"/>
                <w:sz w:val="20"/>
                <w:szCs w:val="20"/>
              </w:rPr>
              <w:t xml:space="preserve">Use these notes to tailor, complete and finalise this document before publication. Delete this section once done.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1. Replace [Organisation Name] throughout</w:t>
            </w:r>
          </w:p>
          <w:p>
            <w:r>
              <w:rPr>
                <w:color w:val="806000"/>
                <w:sz w:val="20"/>
                <w:szCs w:val="20"/>
              </w:rPr>
              <w:t xml:space="preserve">Use your registered legal entity name (e.g. "[Organisation Name] [Pty Ltd]"). The name must match what appears on your ISO 9001 certificate.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2. Fill the document control table</w:t>
            </w:r>
          </w:p>
          <w:p>
            <w:r>
              <w:rPr>
                <w:color w:val="806000"/>
                <w:sz w:val="20"/>
                <w:szCs w:val="20"/>
              </w:rPr>
              <w:t xml:space="preserve">Issue Date: the date this revision takes effect. Next Review: 12 months from Issue Date. Approved By: the Managing Director (the policy must be approved by top management per Cl. 5.2).</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3. Tailor section 3 commitments to your organisation</w:t>
            </w:r>
          </w:p>
          <w:p>
            <w:r>
              <w:rPr>
                <w:color w:val="806000"/>
                <w:sz w:val="20"/>
                <w:szCs w:val="20"/>
              </w:rPr>
              <w:t xml:space="preserve">The commitments listed are appropriate for most organisations. If your business has specific quality commitments (e.g. specific certifications, customer charter language), add them under the relevant sub-heading.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4. Have the policy signed and dated</w:t>
            </w:r>
          </w:p>
          <w:p>
            <w:r>
              <w:rPr>
                <w:color w:val="806000"/>
                <w:sz w:val="20"/>
                <w:szCs w:val="20"/>
              </w:rPr>
              <w:t xml:space="preserve">The MD, Quality Manager and Reviewer must each sign and date. Without signatures the policy is a draft.</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5. Communicate the policy</w:t>
            </w:r>
          </w:p>
          <w:p>
            <w:r>
              <w:rPr>
                <w:color w:val="806000"/>
                <w:sz w:val="20"/>
                <w:szCs w:val="20"/>
              </w:rPr>
              <w:t xml:space="preserve">Publish on [QMS Portal] (see QMS-PRO-011). Cover in next induction session. Issue a toolbox-talk or all-staff briefing for material changes.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6. Provide the policy to interested parties on request</w:t>
            </w:r>
          </w:p>
          <w:p>
            <w:r>
              <w:rPr>
                <w:color w:val="806000"/>
                <w:sz w:val="20"/>
                <w:szCs w:val="20"/>
              </w:rPr>
              <w:t xml:space="preserve">Customers, regulators and the certification body may request a copy. Keep a PDF version ready to send.</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7. Review annually</w:t>
            </w:r>
          </w:p>
          <w:p>
            <w:r>
              <w:rPr>
                <w:color w:val="806000"/>
                <w:sz w:val="20"/>
                <w:szCs w:val="20"/>
              </w:rPr>
              <w:t xml:space="preserve">At each Management Review, confirm the policy remains suitable. If anything material has changed (strategic direction, scope of certification, structure), update the policy and re-issue.</w:t>
            </w:r>
          </w:p>
        </w:tc>
      </w:tr>
      <w:tr>
        <w:tc>
          <w:tcPr>
            <w:tcW w:type="dxa" w:w="9360"/>
            <w:tcBorders>
              <w:top w:val="none"/>
              <w:left w:val="single" w:color="BF8F00" w:sz="12"/>
              <w:bottom w:val="single" w:color="BF8F00" w:sz="12"/>
              <w:right w:val="single" w:color="BF8F00" w:sz="12"/>
            </w:tcBorders>
            <w:shd w:fill="FFF2CC" w:val="clear"/>
            <w:tcMar>
              <w:top w:type="dxa" w:w="120"/>
              <w:left w:type="dxa" w:w="200"/>
              <w:bottom w:type="dxa" w:w="120"/>
              <w:right w:type="dxa" w:w="200"/>
            </w:tcMar>
          </w:tcPr>
          <w:p>
            <w:r>
              <w:rPr>
                <w:b/>
                <w:bCs/>
                <w:color w:val="806000"/>
                <w:sz w:val="20"/>
                <w:szCs w:val="20"/>
              </w:rPr>
              <w:t xml:space="preserve">8. DELETE this guidance section before publishing</w:t>
            </w:r>
          </w:p>
          <w:p>
            <w:r>
              <w:rPr>
                <w:color w:val="806000"/>
                <w:sz w:val="20"/>
                <w:szCs w:val="20"/>
              </w:rPr>
              <w:t xml:space="preserve">Select the entire yellow-bordered block from the heading down to this line and delete. This block is for editorial use only.</w:t>
            </w:r>
          </w:p>
        </w:tc>
      </w:tr>
    </w:tbl>
    <w:p>
      <w:pPr>
        <w:spacing w:after="120"/>
      </w:pPr>
      <w:r>
        <w:t xml:space="preserve">QMS-POL-001  •  Rev 2.0	CONTROLLED DOCUMENT — verify currency before use	Page  of</w:t>
      </w:r>
    </w:p>
    <w:sectPr>
      <w:headerReference w:type="default" r:id="rId7"/>
      <w:footerReference w:type="default" r:id="rId8"/>
      <w:pgSz w:w="11906" w:h="16838"/>
      <w:pgMar w:top="170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
    <w:pPr>
      <w:pBdr>
        <w:top w:val="single" w:color="BFBFBF" w:sz="4" w:space="4"/>
      </w:pBdr>
      <w:tabs>
        <w:tab w:val="center" w:pos="4680"/>
        <w:tab w:val="right" w:pos="9360"/>
      </w:tabs>
    </w:pPr>
    <w:r>
      <w:rPr>
        <w:color w:val="595959"/>
        <w:sz w:val="16"/>
        <w:szCs w:val="16"/>
      </w:rPr>
      <w:t xml:space="preserve">QMS-POL-001  •  Rev 2.0</w:t>
    </w:r>
    <w:r>
      <w:rPr>
        <w:sz w:val="16"/>
        <w:szCs w:val="16"/>
      </w:rPr>
      <w:t>	</w:t>
    </w:r>
    <w:r>
      <w:rPr>
        <w:i/>
        <w:iCs/>
        <w:color w:val="595959"/>
        <w:sz w:val="16"/>
        <w:szCs w:val="16"/>
      </w:rPr>
      <w:t xml:space="preserve">CONTROLLED DOCUMENT — verify currency before use</w:t>
    </w:r>
    <w:r>
      <w:rPr>
        <w:sz w:val="16"/>
        <w:szCs w:val="16"/>
      </w:rPr>
      <w:t>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tbl>
    <w:tblPr>
      <w:tblW w:type="dxa" w:w="9360"/>
      <w:tblBorders>
        <w:top w:val="none" w:sz="0"/>
        <w:left w:val="none" w:sz="0"/>
        <w:bottom w:val="single" w:color="000000" w:sz="8"/>
        <w:right w:val="none" w:sz="0"/>
        <w:insideH w:val="none" w:sz="0"/>
        <w:insideV w:val="none" w:sz="0"/>
      </w:tblBorders>
    </w:tblPr>
    <w:tblGrid>
      <w:gridCol w:w="2400"/>
      <w:gridCol w:w="5160"/>
      <w:gridCol w:w="1800"/>
    </w:tblGrid>
    <w:tr>
      <w:tc>
        <w:tcPr>
          <w:tcW w:type="dxa" w:w="2400"/>
          <w:tcBorders>
            <w:top w:val="none" w:sz="0"/>
            <w:left w:val="none" w:sz="0"/>
            <w:bottom w:val="single" w:color="000000" w:sz="8"/>
            <w:right w:val="none" w:sz="0"/>
          </w:tcBorders>
          <w:tcMar>
            <w:top w:type="dxa" w:w="60"/>
            <w:left w:type="dxa" w:w="80"/>
            <w:bottom w:type="dxa" w:w="80"/>
            <w:right w:type="dxa" w:w="80"/>
          </w:tcMar>
          <w:vAlign w:val="center"/>
        </w:tcPr>
        <w:p>
          <w:r>
            <w:rPr>
              <w:b/>
              <w:bCs/>
              <w:sz w:val="22"/>
              <w:szCs w:val="22"/>
            </w:rPr>
            <w:t xml:space="preserve">[ORGANISATION NAME]</w:t>
          </w:r>
        </w:p>
      </w:tc>
      <w:tc>
        <w:tcPr>
          <w:tcW w:type="dxa" w:w="5160"/>
          <w:tcBorders>
            <w:top w:val="none" w:sz="0"/>
            <w:left w:val="none" w:sz="0"/>
            <w:bottom w:val="single" w:color="000000" w:sz="8"/>
            <w:right w:val="none" w:sz="0"/>
          </w:tcBorders>
          <w:tcMar>
            <w:top w:type="dxa" w:w="60"/>
            <w:left w:type="dxa" w:w="80"/>
            <w:bottom w:type="dxa" w:w="80"/>
            <w:right w:type="dxa" w:w="80"/>
          </w:tcMar>
          <w:vAlign w:val="center"/>
        </w:tcPr>
        <w:p>
          <w:pPr>
            <w:spacing w:after="20"/>
            <w:jc w:val="center"/>
          </w:pPr>
          <w:r>
            <w:rPr>
              <w:b/>
              <w:bCs/>
              <w:sz w:val="20"/>
              <w:szCs w:val="20"/>
            </w:rPr>
            <w:t xml:space="preserve">Quality Policy</w:t>
          </w:r>
        </w:p>
        <w:p>
          <w:pPr>
            <w:jc w:val="center"/>
          </w:pPr>
          <w:r>
            <w:rPr>
              <w:i/>
              <w:iCs/>
              <w:color w:val="595959"/>
              <w:sz w:val="16"/>
              <w:szCs w:val="16"/>
            </w:rPr>
            <w:t xml:space="preserve">ISO 9001:2015 — Cl. 5.2</w:t>
          </w:r>
        </w:p>
      </w:tc>
      <w:tc>
        <w:tcPr>
          <w:tcW w:type="dxa" w:w="1800"/>
          <w:tcBorders>
            <w:top w:val="none" w:sz="0"/>
            <w:left w:val="none" w:sz="0"/>
            <w:bottom w:val="single" w:color="000000" w:sz="8"/>
            <w:right w:val="none" w:sz="0"/>
          </w:tcBorders>
          <w:tcMar>
            <w:top w:type="dxa" w:w="60"/>
            <w:left w:type="dxa" w:w="80"/>
            <w:bottom w:type="dxa" w:w="80"/>
            <w:right w:type="dxa" w:w="80"/>
          </w:tcMar>
          <w:vAlign w:val="center"/>
        </w:tcPr>
        <w:p>
          <w:pPr>
            <w:jc w:val="right"/>
          </w:pPr>
          <w:r>
            <w:rPr>
              <w:b/>
              <w:bCs/>
              <w:sz w:val="18"/>
              <w:szCs w:val="18"/>
            </w:rPr>
            <w:t xml:space="preserve">QMS-POL-001</w:t>
          </w:r>
        </w:p>
      </w:tc>
    </w:tr>
  </w:tbl>
  <w:p>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000000"/>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00000"/>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 Id="rId13" Type="http://schemas.openxmlformats.org/officeDocument/2006/relationships/image" Target="media/veridian-brand-logo.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2026-05-29T22:54:00Z</dcterms:created>
  <dcterms:modified xsi:type="dcterms:W3CDTF">2026-05-29T22:54:00Z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