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Nonconformance Report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QMS-FRM-NCR-001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8.7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spacing w:after="120"/>
      </w:pPr>
      <w:r>
        <w:t xml:space="preserve">This form is used to raise, document, disposition and close a single nonconformance. Refer to QMS-PRO-003 Control of Nonconforming Outputs for the full process. Type or write clearly in blue or black ink. Corrections by single strike-through and initial — do not overwrite.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Raised By (Name)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Project / Job No.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Customer (if applicable)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What was found (specific measurements, observations, evidence)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Quantity affected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Identification (heat no., batch, lot, drawing ref, serial)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Photo references / attachments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Hold area location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Process stopped or paused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Other potentially affected items identified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Customer notification required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Other containment actions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Disposition rationale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Concession required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Customer / Engineer approval (where required)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Disposition authorised by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Re-inspection required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Initial root cause (preliminary)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Notes for trend analysis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Records filed in project file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Entered in NCR register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Closed by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Quality Manager review</w:t>
            </w:r>
          </w:p>
          <w:p>
            <w:r>
              <w:rPr>
                <w:color w:val="80600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When to raise an NCR</w:t>
            </w:r>
          </w:p>
          <w:p>
            <w:r>
              <w:rPr>
                <w:color w:val="806000"/>
                <w:sz w:val="20"/>
                <w:szCs w:val="20"/>
              </w:rPr>
              <w:t xml:space="preserve">Whenever you identify or suspect any product, material or service output does not meet a specified requirement — at any stage from incoming inspection through to post-delivery.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Section 1 — Identification</w:t>
            </w:r>
          </w:p>
          <w:p>
            <w:r>
              <w:rPr>
                <w:color w:val="806000"/>
                <w:sz w:val="20"/>
                <w:szCs w:val="20"/>
              </w:rPr>
              <w:t xml:space="preserve">NCR Number: assigned automatically from [QMS Portal] register. Project/Job No: critical for traceability. Stage Detected: Receipt / In-process / Final / Post-delivery / Customer return.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Section 2 — Description</w:t>
            </w:r>
          </w:p>
          <w:p>
            <w:r>
              <w:rPr>
                <w:color w:val="806000"/>
                <w:sz w:val="20"/>
                <w:szCs w:val="20"/>
              </w:rPr>
              <w:t xml:space="preserve">Be specific. 'Out of tolerance' is not enough — state the required dimension and the measured dimension. Include heat numbers, batch numbers and drawing references for traceability.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Section 3 — Containment</w:t>
            </w:r>
          </w:p>
          <w:p>
            <w:r>
              <w:rPr>
                <w:color w:val="806000"/>
                <w:sz w:val="20"/>
                <w:szCs w:val="20"/>
              </w:rPr>
              <w:t xml:space="preserve">Don't skip this. The first job is to stop the problem getting worse. Tag the item, move it to quarantine, identify other potentially affected items.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Section 4 — Disposition</w:t>
            </w:r>
          </w:p>
          <w:p>
            <w:r>
              <w:rPr>
                <w:color w:val="806000"/>
                <w:sz w:val="20"/>
                <w:szCs w:val="20"/>
              </w:rPr>
              <w:t xml:space="preserve">Authority varies by disposition type — see QMS-PRO-003. UAI / concession requires customer approval. Reject means the item is destroyed or rendered unusable.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Section 5 — Root cause and CAR</w:t>
            </w:r>
          </w:p>
          <w:p>
            <w:r>
              <w:rPr>
                <w:color w:val="806000"/>
                <w:sz w:val="20"/>
                <w:szCs w:val="20"/>
              </w:rPr>
              <w:t xml:space="preserve">A CAR is required for: any Major nonconformance; any repeated NC; any NC with customer/regulatory impact. See QMS-PRO-009.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Section 6 — Closure</w:t>
            </w:r>
          </w:p>
          <w:p>
            <w:r>
              <w:rPr>
                <w:color w:val="806000"/>
                <w:sz w:val="20"/>
                <w:szCs w:val="20"/>
              </w:rPr>
              <w:t xml:space="preserve">An NCR is not closed until: action complete, re-inspection passed (if rework), records filed, register updated, Quality Manager review complete.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Attachments</w:t>
            </w:r>
          </w:p>
          <w:p>
            <w:r>
              <w:rPr>
                <w:color w:val="806000"/>
                <w:sz w:val="20"/>
                <w:szCs w:val="20"/>
              </w:rPr>
              <w:t xml:space="preserve">Photos, measurement records, calibration certs, drawings — anything that supports the description and disposition. Reference them in the form and file them with the NCR record.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9. This guidance can be retained for reference</w:t>
            </w:r>
          </w:p>
          <w:p>
            <w:r>
              <w:rPr>
                <w:color w:val="806000"/>
                <w:sz w:val="20"/>
                <w:szCs w:val="20"/>
              </w:rPr>
              <w:t xml:space="preserve">Unlike procedures, form guidance is often useful to keep alongside the form for users. Decide locally: delete this block, or move it to a separate 'NCR Quick Guide' document.</w:t>
            </w:r>
          </w:p>
        </w:tc>
      </w:tr>
    </w:tbl>
    <w:p>
      <w:pPr>
        <w:spacing w:after="120"/>
      </w:pPr>
      <w:r>
        <w:t xml:space="preserve">QMS-FRM-NCR-001  •  Rev 1.0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QMS-FRM-NCR-001  •  Rev 1.0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Nonconformance Report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8.7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QMS-FRM-NCR-001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