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Bahnschrift" w:hAnsi="Bahnschrift"/>
          <w:b/>
          <w:color w:val="12201B"/>
          <w:sz w:val="48"/>
        </w:rPr>
        <w:t>VERIDIAN IMS</w:t>
      </w:r>
    </w:p>
    <w:p>
      <w:pPr>
        <w:jc w:val="center"/>
      </w:pPr>
      <w:r>
        <w:rPr>
          <w:rFonts w:ascii="Bahnschrift" w:hAnsi="Bahnschrift"/>
          <w:color w:val="2A7E2F"/>
          <w:sz w:val="32"/>
        </w:rPr>
        <w:t>Help Video Voiceover Script and Scene Guide</w:t>
      </w:r>
    </w:p>
    <w:p>
      <w:pPr>
        <w:jc w:val="center"/>
      </w:pPr>
      <w:r>
        <w:rPr>
          <w:i/>
          <w:color w:val="566960"/>
        </w:rPr>
        <w:t>Use one scene per slide. Suitable for Synthesia avatar narration and product cutaways.</w:t>
      </w:r>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w:t>
            </w:r>
          </w:p>
        </w:tc>
        <w:tc>
          <w:tcPr>
            <w:tcW w:type="dxa" w:w="9432"/>
            <w:shd w:fill="0B1715"/>
            <w:vAlign w:val="center"/>
          </w:tcPr>
          <w:p>
            <w:r/>
            <w:r>
              <w:rPr>
                <w:rFonts w:ascii="Bahnschrift" w:hAnsi="Bahnschrift"/>
                <w:b/>
                <w:color w:val="FFFFFF"/>
                <w:sz w:val="20"/>
              </w:rPr>
              <w:t>Help Video - How to use Veridian IMS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How to use Veridian IMS</w:t>
              <w:br/>
              <w:t>Access the system; Choose the right portal; Use documents, registers, audits and reports; Work across ISO 9001, ISO 14001, ISO 45001 and IMS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Welcome to Veridian IMS. This video shows how to access the system, choose the right portal, navigate the main modules, use controlled documents, complete registers and audits, and work across the Quality, Environmental, Safety and Integrated Management System products.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09-product-visuals-montage.png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w:t>
            </w:r>
          </w:p>
        </w:tc>
        <w:tc>
          <w:tcPr>
            <w:tcW w:type="dxa" w:w="9432"/>
            <w:shd w:fill="0B1715"/>
            <w:vAlign w:val="center"/>
          </w:tcPr>
          <w:p>
            <w:r/>
            <w:r>
              <w:rPr>
                <w:rFonts w:ascii="Bahnschrift" w:hAnsi="Bahnschrift"/>
                <w:b/>
                <w:color w:val="FFFFFF"/>
                <w:sz w:val="20"/>
              </w:rPr>
              <w:t>Access - Start from the landing page</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Start from the landing page</w:t>
              <w:br/>
              <w:t>Open the Veridian IMS landing page; Review the product tiers; Choose single-standard, combined or full IMS; Use the demo login during evaluation</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Start from the landing page. This is where customers review the products, compare tiers, and activate a demo subscription. In the final SaaS version, the same access model will be enforced through authentication, subscription records and tenant permissions.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Screen Lady.png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3</w:t>
            </w:r>
          </w:p>
        </w:tc>
        <w:tc>
          <w:tcPr>
            <w:tcW w:type="dxa" w:w="9432"/>
            <w:shd w:fill="0B1715"/>
            <w:vAlign w:val="center"/>
          </w:tcPr>
          <w:p>
            <w:r/>
            <w:r>
              <w:rPr>
                <w:rFonts w:ascii="Bahnschrift" w:hAnsi="Bahnschrift"/>
                <w:b/>
                <w:color w:val="FFFFFF"/>
                <w:sz w:val="20"/>
              </w:rPr>
              <w:t>Product Access - Understand the subscription tiers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Understand the subscription tiers</w:t>
              <w:br/>
              <w:t>Tier 1: one standalone portal; Tier 2: one combined QMS plus EMS or QMS plus OHS portal; Tier 3: full IMS access; Additional users can be added to each plan</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Access depends on the customer subscription. Tier one provides one standalone portal. Tier two provides one combined management system. Tier three provides the full IMS product with quality, safety, environment and integrated governance.</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Branded instructional graphic</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4</w:t>
            </w:r>
          </w:p>
        </w:tc>
        <w:tc>
          <w:tcPr>
            <w:tcW w:type="dxa" w:w="9432"/>
            <w:shd w:fill="0B1715"/>
            <w:vAlign w:val="center"/>
          </w:tcPr>
          <w:p>
            <w:r/>
            <w:r>
              <w:rPr>
                <w:rFonts w:ascii="Bahnschrift" w:hAnsi="Bahnschrift"/>
                <w:b/>
                <w:color w:val="FFFFFF"/>
                <w:sz w:val="20"/>
              </w:rPr>
              <w:t>Portal Selection - Open the correct portal</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Open the correct portal</w:t>
              <w:br/>
              <w:t>ISO 9001 for Quality; ISO 14001 for Environment; ISO 45001 for OH&amp;S; Combined portals for QMS plus EMS or QMS plus OHS; IMS for the complete integrated system</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After login, choose the portal that matches the subscription and the management system being operated. Each portal uses the same workflow pattern, but the registers, documents, clauses and forms are tailored to the relevant standard.</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09-product-visuals-montage.png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5</w:t>
            </w:r>
          </w:p>
        </w:tc>
        <w:tc>
          <w:tcPr>
            <w:tcW w:type="dxa" w:w="9432"/>
            <w:shd w:fill="0B1715"/>
            <w:vAlign w:val="center"/>
          </w:tcPr>
          <w:p>
            <w:r/>
            <w:r>
              <w:rPr>
                <w:rFonts w:ascii="Bahnschrift" w:hAnsi="Bahnschrift"/>
                <w:b/>
                <w:color w:val="FFFFFF"/>
                <w:sz w:val="20"/>
              </w:rPr>
              <w:t>Dashboard - Use the dashboard as your daily control centre</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the dashboard as your daily control centre</w:t>
              <w:br/>
              <w:t>Check open NCRs and CARs; Review overdue actions; Monitor calibration and training alerts; Use the system health score to focus attention</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dashboard is the daily control centre. It shows open nonconformances, corrective actions, complaints, calibration issues, training alerts and urgent items requiring management attention.</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01-dashboard-overview.png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6</w:t>
            </w:r>
          </w:p>
        </w:tc>
        <w:tc>
          <w:tcPr>
            <w:tcW w:type="dxa" w:w="9432"/>
            <w:shd w:fill="0B1715"/>
            <w:vAlign w:val="center"/>
          </w:tcPr>
          <w:p>
            <w:r/>
            <w:r>
              <w:rPr>
                <w:rFonts w:ascii="Bahnschrift" w:hAnsi="Bahnschrift"/>
                <w:b/>
                <w:color w:val="FFFFFF"/>
                <w:sz w:val="20"/>
              </w:rPr>
              <w:t>Portal Theme - Switch visual modes when needed</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Switch visual modes when needed</w:t>
              <w:br/>
              <w:t>Veridian Mode gives the premium product interface; Original Mode gives the lighter working style; The choice is saved locally for the user; Data and portal content do not change</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Each portal now includes a theme button in the header. Veridian Mode gives the premium commercial interface. Original Mode returns to the lighter working style. The choice changes only the visual presentation; it does not alter records, documents or audit data.</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preview-dashboard-unlocked.png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7</w:t>
            </w:r>
          </w:p>
        </w:tc>
        <w:tc>
          <w:tcPr>
            <w:tcW w:type="dxa" w:w="9432"/>
            <w:shd w:fill="0B1715"/>
            <w:vAlign w:val="center"/>
          </w:tcPr>
          <w:p>
            <w:r/>
            <w:r>
              <w:rPr>
                <w:rFonts w:ascii="Bahnschrift" w:hAnsi="Bahnschrift"/>
                <w:b/>
                <w:color w:val="FFFFFF"/>
                <w:sz w:val="20"/>
              </w:rPr>
              <w:t>Navigation - Navigate with the left menu</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Navigate with the left menu</w:t>
              <w:br/>
              <w:t>Portal overview; ISO guide and clauses; Tools; Actions and reporting; Administration; Live registers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Use the left menu to move through the system. The navigation is grouped by purpose: overview, ISO guidance, tools, actions and reporting, administration and live registers. This keeps the portal usable even as more standards and workflows are added.</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Branded instructional graphic</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8</w:t>
            </w:r>
          </w:p>
        </w:tc>
        <w:tc>
          <w:tcPr>
            <w:tcW w:type="dxa" w:w="9432"/>
            <w:shd w:fill="0B1715"/>
            <w:vAlign w:val="center"/>
          </w:tcPr>
          <w:p>
            <w:r/>
            <w:r>
              <w:rPr>
                <w:rFonts w:ascii="Bahnschrift" w:hAnsi="Bahnschrift"/>
                <w:b/>
                <w:color w:val="FFFFFF"/>
                <w:sz w:val="20"/>
              </w:rPr>
              <w:t>Clauses - Use the ISO guide and clause picker</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the ISO guide and clause picker</w:t>
              <w:br/>
              <w:t>Read what the standard requires; Use Plan, Do, Check, Act to understand the system; Open each clause area; Trace requirements back to documents and evidence</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ISO guide explains what each standard requires in practical terms. The clause picker helps users move through clauses four to ten and understand how the portal maps requirements to documents, registers and evidence.</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02-audit-management.png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9</w:t>
            </w:r>
          </w:p>
        </w:tc>
        <w:tc>
          <w:tcPr>
            <w:tcW w:type="dxa" w:w="9432"/>
            <w:shd w:fill="0B1715"/>
            <w:vAlign w:val="center"/>
          </w:tcPr>
          <w:p>
            <w:r/>
            <w:r>
              <w:rPr>
                <w:rFonts w:ascii="Bahnschrift" w:hAnsi="Bahnschrift"/>
                <w:b/>
                <w:color w:val="FFFFFF"/>
                <w:sz w:val="20"/>
              </w:rPr>
              <w:t>Documents - Open the document library</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Open the document library</w:t>
              <w:br/>
              <w:t>Use the SharePoint repository link; Access policies, plans, procedures, registers and forms; Keep document codes consistent; Print controlled outputs when required</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document library gives users access to the controlled document set. The SharePoint repository is the source of truth, while the portal keeps the document register, forms and report outputs connected to the working system.</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07-document-library.png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10</w:t>
            </w:r>
          </w:p>
        </w:tc>
        <w:tc>
          <w:tcPr>
            <w:tcW w:type="dxa" w:w="9432"/>
            <w:shd w:fill="0B1715"/>
            <w:vAlign w:val="center"/>
          </w:tcPr>
          <w:p>
            <w:r/>
            <w:r>
              <w:rPr>
                <w:rFonts w:ascii="Bahnschrift" w:hAnsi="Bahnschrift"/>
                <w:b/>
                <w:color w:val="FFFFFF"/>
                <w:sz w:val="20"/>
              </w:rPr>
              <w:t>Clause Mapping - Use clause mapping for audit evidence</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clause mapping for audit evidence</w:t>
              <w:br/>
              <w:t>Map each clause to documents and records; Use standard tags for QMS, EMS and OHS; Print the map for auditors; Update evidence as the system matures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Clause mapping is designed for audit readiness. It shows where each standard requirement is supported by documents, registers, forms or operational records. For combined and IMS products, standard tags remain visible so auditors can trace evidence separately.</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02-audit-management.png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11</w:t>
            </w:r>
          </w:p>
        </w:tc>
        <w:tc>
          <w:tcPr>
            <w:tcW w:type="dxa" w:w="9432"/>
            <w:shd w:fill="0B1715"/>
            <w:vAlign w:val="center"/>
          </w:tcPr>
          <w:p>
            <w:r/>
            <w:r>
              <w:rPr>
                <w:rFonts w:ascii="Bahnschrift" w:hAnsi="Bahnschrift"/>
                <w:b/>
                <w:color w:val="FFFFFF"/>
                <w:sz w:val="20"/>
              </w:rPr>
              <w:t>Audits - Run internal audits online</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Run internal audits online</w:t>
              <w:br/>
              <w:t>Select the standard checklist; Complete clause questions; Grade conformance; Add evidence notes and attachments; Export the audit report</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audit checklist is interactive. Select the standard, complete each clause question, grade the result, record evidence notes, attach supporting documents and export the audit report for review and closeout.</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02-audit-management.png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12</w:t>
            </w:r>
          </w:p>
        </w:tc>
        <w:tc>
          <w:tcPr>
            <w:tcW w:type="dxa" w:w="9432"/>
            <w:shd w:fill="0B1715"/>
            <w:vAlign w:val="center"/>
          </w:tcPr>
          <w:p>
            <w:r/>
            <w:r>
              <w:rPr>
                <w:rFonts w:ascii="Bahnschrift" w:hAnsi="Bahnschrift"/>
                <w:b/>
                <w:color w:val="FFFFFF"/>
                <w:sz w:val="20"/>
              </w:rPr>
              <w:t>Corrective Actions - Create findings and close actions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Create findings and close actions</w:t>
              <w:br/>
              <w:t>Raise NCRs and CARs; Assign owner and due date; Track open, overdue and closed status; Verify effectiveness before closure</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When an issue is found, raise a nonconformance or corrective action. Record the source, root cause, owner, due date and action plan. Actions should only be closed when the correction has been verified and evidence is available.</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04-corrective-actions.png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13</w:t>
            </w:r>
          </w:p>
        </w:tc>
        <w:tc>
          <w:tcPr>
            <w:tcW w:type="dxa" w:w="9432"/>
            <w:shd w:fill="0B1715"/>
            <w:vAlign w:val="center"/>
          </w:tcPr>
          <w:p>
            <w:r/>
            <w:r>
              <w:rPr>
                <w:rFonts w:ascii="Bahnschrift" w:hAnsi="Bahnschrift"/>
                <w:b/>
                <w:color w:val="FFFFFF"/>
                <w:sz w:val="20"/>
              </w:rPr>
              <w:t>Registers - Use live registers as working records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live registers as working records</w:t>
              <w:br/>
              <w:t>Record operational evidence once; Edit registers as work changes; Filter and export records; Use registers during management review</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Live registers replace disconnected spreadsheets. Users can add, edit, filter and export records, then use that live data as evidence during audits, management review and operational meetings.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03-live-registers.png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14</w:t>
            </w:r>
          </w:p>
        </w:tc>
        <w:tc>
          <w:tcPr>
            <w:tcW w:type="dxa" w:w="9432"/>
            <w:shd w:fill="0B1715"/>
            <w:vAlign w:val="center"/>
          </w:tcPr>
          <w:p>
            <w:r/>
            <w:r>
              <w:rPr>
                <w:rFonts w:ascii="Bahnschrift" w:hAnsi="Bahnschrift"/>
                <w:b/>
                <w:color w:val="FFFFFF"/>
                <w:sz w:val="20"/>
              </w:rPr>
              <w:t>Iso 9001 - Quality portal workflow</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Quality portal workflow</w:t>
              <w:br/>
              <w:t>Customer requirements; Supplier approval; NCR and CAR workflow; Calibration and training; Welding ITP where fabrication applies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ISO 9001 portal focuses on quality management. It supports customer requirements, supplier control, nonconforming outputs, corrective action, calibration, training, document control and, where relevant, welding inspection and test planning.</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05-swms-builder.png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15</w:t>
            </w:r>
          </w:p>
        </w:tc>
        <w:tc>
          <w:tcPr>
            <w:tcW w:type="dxa" w:w="9432"/>
            <w:shd w:fill="0B1715"/>
            <w:vAlign w:val="center"/>
          </w:tcPr>
          <w:p>
            <w:r/>
            <w:r>
              <w:rPr>
                <w:rFonts w:ascii="Bahnschrift" w:hAnsi="Bahnschrift"/>
                <w:b/>
                <w:color w:val="FFFFFF"/>
                <w:sz w:val="20"/>
              </w:rPr>
              <w:t>Iso 14001 - Environmental portal workflow</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Environmental portal workflow</w:t>
              <w:br/>
              <w:t>Aspects and impacts; Compliance obligations; Waste and chemicals; Monitoring records; Emergency preparedness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ISO 14001 portal focuses on environmental management. Use it to manage aspects and impacts, compliance obligations, waste, chemicals, monitoring, environmental incidents and emergency preparedness.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03-live-registers.png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16</w:t>
            </w:r>
          </w:p>
        </w:tc>
        <w:tc>
          <w:tcPr>
            <w:tcW w:type="dxa" w:w="9432"/>
            <w:shd w:fill="0B1715"/>
            <w:vAlign w:val="center"/>
          </w:tcPr>
          <w:p>
            <w:r/>
            <w:r>
              <w:rPr>
                <w:rFonts w:ascii="Bahnschrift" w:hAnsi="Bahnschrift"/>
                <w:b/>
                <w:color w:val="FFFFFF"/>
                <w:sz w:val="20"/>
              </w:rPr>
              <w:t>Iso 45001 - Safety portal workflow</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Safety portal workflow</w:t>
              <w:br/>
              <w:t>Hazards and incidents; Risk assessments; SWMS and high-risk construction work; Consultation and competency; Corrective action and closeout</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ISO 45001 portal focuses on safety management. It supports hazard reporting, incident management, risk assessments, SWMS documents, consultation, competency and safety corrective actions.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06-risk-matrix.png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17</w:t>
            </w:r>
          </w:p>
        </w:tc>
        <w:tc>
          <w:tcPr>
            <w:tcW w:type="dxa" w:w="9432"/>
            <w:shd w:fill="0B1715"/>
            <w:vAlign w:val="center"/>
          </w:tcPr>
          <w:p>
            <w:r/>
            <w:r>
              <w:rPr>
                <w:rFonts w:ascii="Bahnschrift" w:hAnsi="Bahnschrift"/>
                <w:b/>
                <w:color w:val="FFFFFF"/>
                <w:sz w:val="20"/>
              </w:rPr>
              <w:t>Swms - Build SWMS documents for site work</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Build SWMS documents for site work</w:t>
              <w:br/>
              <w:t>Start with a construction template; Choose disciplines such as roofing, concreting, carpentry or welding; Use initial and residual risk scores; Export Word and Excel outputs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SWMS builder supports high-risk construction work. Start with a base construction template, choose relevant disciplines, edit hazards and controls, use the five-by-five risk matrix and export the finished document in Word or Excel format.</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05-swms-builder.png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18</w:t>
            </w:r>
          </w:p>
        </w:tc>
        <w:tc>
          <w:tcPr>
            <w:tcW w:type="dxa" w:w="9432"/>
            <w:shd w:fill="0B1715"/>
            <w:vAlign w:val="center"/>
          </w:tcPr>
          <w:p>
            <w:r/>
            <w:r>
              <w:rPr>
                <w:rFonts w:ascii="Bahnschrift" w:hAnsi="Bahnschrift"/>
                <w:b/>
                <w:color w:val="FFFFFF"/>
                <w:sz w:val="20"/>
              </w:rPr>
              <w:t>Risk - Use the 5 x 5 risk matrix</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the 5 x 5 risk matrix</w:t>
              <w:br/>
              <w:t>Select likelihood and consequence; Calculate initial risk; Apply controls; Re-score residual risk; Link controls to actions and registers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five-by-five matrix helps users assess risk before and after controls. Record the initial rating, apply controls using the hierarchy of control, then calculate the residual risk and link the result back to SWMS, actions and registers.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06-risk-matrix.png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19</w:t>
            </w:r>
          </w:p>
        </w:tc>
        <w:tc>
          <w:tcPr>
            <w:tcW w:type="dxa" w:w="9432"/>
            <w:shd w:fill="0B1715"/>
            <w:vAlign w:val="center"/>
          </w:tcPr>
          <w:p>
            <w:r/>
            <w:r>
              <w:rPr>
                <w:rFonts w:ascii="Bahnschrift" w:hAnsi="Bahnschrift"/>
                <w:b/>
                <w:color w:val="FFFFFF"/>
                <w:sz w:val="20"/>
              </w:rPr>
              <w:t>Welding Itp - Use Welding ITP when ISO 9001 is included</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Welding ITP when ISO 9001 is included</w:t>
              <w:br/>
              <w:t>Create a new ITP for each project or item; Edit inspection stages; Record hold points and results; Print or export for quality records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Where ISO 9001 is part of the subscription, the welding ITP can be used for fabrication and inspection control. Create a new ITP for each project or item, edit the inspection steps and export the record for quality evidence.</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05-swms-builder.png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20</w:t>
            </w:r>
          </w:p>
        </w:tc>
        <w:tc>
          <w:tcPr>
            <w:tcW w:type="dxa" w:w="9432"/>
            <w:shd w:fill="0B1715"/>
            <w:vAlign w:val="center"/>
          </w:tcPr>
          <w:p>
            <w:r/>
            <w:r>
              <w:rPr>
                <w:rFonts w:ascii="Bahnschrift" w:hAnsi="Bahnschrift"/>
                <w:b/>
                <w:color w:val="FFFFFF"/>
                <w:sz w:val="20"/>
              </w:rPr>
              <w:t>Reporting - Generate reports and exports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Generate reports and exports</w:t>
              <w:br/>
              <w:t>Audit reports; Register workbooks; Corrective action summaries; Management review evidence; Word, Excel and PDF-ready outputs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Reports turn live records into usable evidence. Users can generate audit reports, register workbooks, corrective action summaries and management review information in formats that can be shared with managers, auditors and project teams.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08-reporting-exports.png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21</w:t>
            </w:r>
          </w:p>
        </w:tc>
        <w:tc>
          <w:tcPr>
            <w:tcW w:type="dxa" w:w="9432"/>
            <w:shd w:fill="0B1715"/>
            <w:vAlign w:val="center"/>
          </w:tcPr>
          <w:p>
            <w:r/>
            <w:r>
              <w:rPr>
                <w:rFonts w:ascii="Bahnschrift" w:hAnsi="Bahnschrift"/>
                <w:b/>
                <w:color w:val="FFFFFF"/>
                <w:sz w:val="20"/>
              </w:rPr>
              <w:t>Reminders - Use email and notifications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Use email and notifications</w:t>
              <w:br/>
              <w:t>Prefill email reminders; Notify action owners; Escalate overdue items; Keep managers informed</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The Email Centre and notification settings help users communicate action requirements. Reminders can be prepared for owners, overdue items can be escalated and managers can keep visibility across the system.</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04-corrective-actions.png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22</w:t>
            </w:r>
          </w:p>
        </w:tc>
        <w:tc>
          <w:tcPr>
            <w:tcW w:type="dxa" w:w="9432"/>
            <w:shd w:fill="0B1715"/>
            <w:vAlign w:val="center"/>
          </w:tcPr>
          <w:p>
            <w:r/>
            <w:r>
              <w:rPr>
                <w:rFonts w:ascii="Bahnschrift" w:hAnsi="Bahnschrift"/>
                <w:b/>
                <w:color w:val="FFFFFF"/>
                <w:sz w:val="20"/>
              </w:rPr>
              <w:t>Administration - Manage tenants and users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Manage tenants and users</w:t>
              <w:br/>
              <w:t>Add tenants; Add users; Assign roles; Set notification preferences; Prepare for SaaS permissions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Administration pages manage tenants, users, roles and notification settings. In the standalone version this is a working prototype. In the SaaS version, this will connect to authentication, role-based permissions and tenant isolation.</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Branded instructional graphic</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23</w:t>
            </w:r>
          </w:p>
        </w:tc>
        <w:tc>
          <w:tcPr>
            <w:tcW w:type="dxa" w:w="9432"/>
            <w:shd w:fill="0B1715"/>
            <w:vAlign w:val="center"/>
          </w:tcPr>
          <w:p>
            <w:r/>
            <w:r>
              <w:rPr>
                <w:rFonts w:ascii="Bahnschrift" w:hAnsi="Bahnschrift"/>
                <w:b/>
                <w:color w:val="FFFFFF"/>
                <w:sz w:val="20"/>
              </w:rPr>
              <w:t>Integration - Combined and IMS portals</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Combined and IMS portals</w:t>
              <w:br/>
              <w:t>Use combined portals for QMS plus EMS or QMS plus OHS; Use IMS for all three standards; Shared workflows reduce duplication; Separate standard evidence remains traceable</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Combined and IMS portals reduce duplication by sharing workflows such as document control, audits, corrective actions, management review and reporting. At the same time, standard-specific evidence remains traceable for quality, environment and safety audits.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09-product-visuals-montage.png</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24</w:t>
            </w:r>
          </w:p>
        </w:tc>
        <w:tc>
          <w:tcPr>
            <w:tcW w:type="dxa" w:w="9432"/>
            <w:shd w:fill="0B1715"/>
            <w:vAlign w:val="center"/>
          </w:tcPr>
          <w:p>
            <w:r/>
            <w:r>
              <w:rPr>
                <w:rFonts w:ascii="Bahnschrift" w:hAnsi="Bahnschrift"/>
                <w:b/>
                <w:color w:val="FFFFFF"/>
                <w:sz w:val="20"/>
              </w:rPr>
              <w:t>Good Practice - Recommended daily rhythm</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Recommended daily rhythm</w:t>
              <w:br/>
              <w:t>Check dashboard weekly; Close overdue actions; Update registers as work happens; Review documents before expiry; Run internal audits before certification audits</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For best results, use Veridian IMS as a live operating system. Check the dashboard weekly, close overdue actions, update registers as work happens, review documents before expiry and complete internal audits before external audits.</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Branded instructional graphic</w:t>
            </w:r>
          </w:p>
        </w:tc>
      </w:tr>
    </w:tbl>
    <w:p/>
    <w:tbl>
      <w:tblPr>
        <w:tblStyle w:val="TableGrid"/>
        <w:tblW w:type="auto" w:w="0"/>
        <w:tblLook w:firstColumn="1" w:firstRow="1" w:lastColumn="0" w:lastRow="0" w:noHBand="0" w:noVBand="1" w:val="04A0"/>
      </w:tblPr>
      <w:tblGrid>
        <w:gridCol w:w="5184"/>
        <w:gridCol w:w="5184"/>
      </w:tblGrid>
      <w:tr>
        <w:tc>
          <w:tcPr>
            <w:tcW w:type="dxa" w:w="1656"/>
            <w:shd w:fill="0B1715"/>
            <w:vAlign w:val="center"/>
          </w:tcPr>
          <w:p>
            <w:r/>
            <w:r>
              <w:rPr>
                <w:rFonts w:ascii="Bahnschrift" w:hAnsi="Bahnschrift"/>
                <w:b/>
                <w:color w:val="7ED957"/>
                <w:sz w:val="18"/>
              </w:rPr>
              <w:t>Scene 25</w:t>
            </w:r>
          </w:p>
        </w:tc>
        <w:tc>
          <w:tcPr>
            <w:tcW w:type="dxa" w:w="9432"/>
            <w:shd w:fill="0B1715"/>
            <w:vAlign w:val="center"/>
          </w:tcPr>
          <w:p>
            <w:r/>
            <w:r>
              <w:rPr>
                <w:rFonts w:ascii="Bahnschrift" w:hAnsi="Bahnschrift"/>
                <w:b/>
                <w:color w:val="FFFFFF"/>
                <w:sz w:val="20"/>
              </w:rPr>
              <w:t>Support - Where to get help</w:t>
            </w:r>
          </w:p>
        </w:tc>
      </w:tr>
      <w:tr>
        <w:tc>
          <w:tcPr>
            <w:tcW w:type="dxa" w:w="1656"/>
            <w:shd w:fill="EAF2ED"/>
            <w:vAlign w:val="center"/>
          </w:tcPr>
          <w:p>
            <w:r/>
            <w:r>
              <w:rPr>
                <w:rFonts w:ascii="Bahnschrift" w:hAnsi="Bahnschrift"/>
                <w:b/>
                <w:color w:val="287E2F"/>
                <w:sz w:val="16"/>
              </w:rPr>
              <w:t>On-screen</w:t>
            </w:r>
          </w:p>
        </w:tc>
        <w:tc>
          <w:tcPr>
            <w:tcW w:type="dxa" w:w="9432"/>
            <w:shd w:fill="F7FAF8"/>
            <w:vAlign w:val="center"/>
          </w:tcPr>
          <w:p>
            <w:r/>
            <w:r>
              <w:rPr>
                <w:rFonts w:ascii="Bahnschrift" w:hAnsi="Bahnschrift"/>
                <w:b w:val="0"/>
                <w:color w:val="12201B"/>
                <w:sz w:val="18"/>
              </w:rPr>
              <w:t>Where to get help</w:t>
              <w:br/>
              <w:t>Use the FAQ; Open the help video and script; Review the document library; Escalate product issues through the support pathway</w:t>
            </w:r>
          </w:p>
        </w:tc>
      </w:tr>
      <w:tr>
        <w:tc>
          <w:tcPr>
            <w:tcW w:type="dxa" w:w="1656"/>
            <w:shd w:fill="EAF2ED"/>
            <w:vAlign w:val="center"/>
          </w:tcPr>
          <w:p>
            <w:r/>
            <w:r>
              <w:rPr>
                <w:rFonts w:ascii="Bahnschrift" w:hAnsi="Bahnschrift"/>
                <w:b/>
                <w:color w:val="287E2F"/>
                <w:sz w:val="16"/>
              </w:rPr>
              <w:t>Voiceover</w:t>
            </w:r>
          </w:p>
        </w:tc>
        <w:tc>
          <w:tcPr>
            <w:tcW w:type="dxa" w:w="9432"/>
            <w:shd w:fill="F7FAF8"/>
            <w:vAlign w:val="center"/>
          </w:tcPr>
          <w:p>
            <w:r/>
            <w:r>
              <w:rPr>
                <w:rFonts w:ascii="Bahnschrift" w:hAnsi="Bahnschrift"/>
                <w:b w:val="0"/>
                <w:color w:val="12201B"/>
                <w:sz w:val="18"/>
              </w:rPr>
              <w:t>If users need help, start with the FAQ section. It links to this help video pack and provides guidance on documents, standards, audits, registers and portal use. The aim is to keep teams confident, consistent and audit ready.</w:t>
            </w:r>
          </w:p>
        </w:tc>
      </w:tr>
      <w:tr>
        <w:tc>
          <w:tcPr>
            <w:tcW w:type="dxa" w:w="1656"/>
            <w:shd w:fill="EAF2ED"/>
            <w:vAlign w:val="center"/>
          </w:tcPr>
          <w:p>
            <w:r/>
            <w:r>
              <w:rPr>
                <w:rFonts w:ascii="Bahnschrift" w:hAnsi="Bahnschrift"/>
                <w:b/>
                <w:color w:val="287E2F"/>
                <w:sz w:val="16"/>
              </w:rPr>
              <w:t>Visual</w:t>
            </w:r>
          </w:p>
        </w:tc>
        <w:tc>
          <w:tcPr>
            <w:tcW w:type="dxa" w:w="9432"/>
            <w:shd w:fill="F7FAF8"/>
            <w:vAlign w:val="center"/>
          </w:tcPr>
          <w:p>
            <w:r/>
            <w:r>
              <w:rPr>
                <w:rFonts w:ascii="Bahnschrift" w:hAnsi="Bahnschrift"/>
                <w:b w:val="0"/>
                <w:color w:val="12201B"/>
                <w:sz w:val="18"/>
              </w:rPr>
              <w:t>09-product-visuals-montage.png</w:t>
            </w:r>
          </w:p>
        </w:tc>
      </w:tr>
    </w:tbl>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1" ma:contentTypeDescription="Create a new document." ma:contentTypeScope="" ma:versionID="715b0e391d5b0a23be4076f426e82f09">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32be622123e49a238a3fc9d3cb99640a"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8FB2C69-4F60-45AA-9817-932B360F58FB}"/>
</file>

<file path=customXml/itemProps3.xml><?xml version="1.0" encoding="utf-8"?>
<ds:datastoreItem xmlns:ds="http://schemas.openxmlformats.org/officeDocument/2006/customXml" ds:itemID="{0258626F-2E79-4323-AA35-3AB822D08273}"/>
</file>

<file path=customXml/itemProps4.xml><?xml version="1.0" encoding="utf-8"?>
<ds:datastoreItem xmlns:ds="http://schemas.openxmlformats.org/officeDocument/2006/customXml" ds:itemID="{103DA20F-5566-4B9C-ADCA-BCFC9EE066B9}"/>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